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0687" w14:textId="7F647731" w:rsidR="003A73E1" w:rsidRDefault="00393455" w:rsidP="00671196">
      <w:pPr>
        <w:spacing w:after="0" w:line="240" w:lineRule="auto"/>
        <w:jc w:val="center"/>
      </w:pPr>
      <w:bookmarkStart w:id="0" w:name="_Hlk15044387"/>
      <w:r>
        <w:rPr>
          <w:noProof/>
        </w:rPr>
        <w:drawing>
          <wp:anchor distT="0" distB="0" distL="114300" distR="114300" simplePos="0" relativeHeight="251658240" behindDoc="1" locked="0" layoutInCell="1" allowOverlap="1" wp14:anchorId="572EA257" wp14:editId="079F5AC1">
            <wp:simplePos x="0" y="0"/>
            <wp:positionH relativeFrom="page">
              <wp:align>right</wp:align>
            </wp:positionH>
            <wp:positionV relativeFrom="paragraph">
              <wp:posOffset>-487046</wp:posOffset>
            </wp:positionV>
            <wp:extent cx="7776087" cy="2162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date Letter (Header).jpg"/>
                    <pic:cNvPicPr/>
                  </pic:nvPicPr>
                  <pic:blipFill>
                    <a:blip r:embed="rId6">
                      <a:extLst>
                        <a:ext uri="{28A0092B-C50C-407E-A947-70E740481C1C}">
                          <a14:useLocalDpi xmlns:a14="http://schemas.microsoft.com/office/drawing/2010/main" val="0"/>
                        </a:ext>
                      </a:extLst>
                    </a:blip>
                    <a:stretch>
                      <a:fillRect/>
                    </a:stretch>
                  </pic:blipFill>
                  <pic:spPr>
                    <a:xfrm>
                      <a:off x="0" y="0"/>
                      <a:ext cx="7776087" cy="21621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C3D8345" wp14:editId="5E013B6E">
            <wp:extent cx="1834762" cy="491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A English (Rev).png"/>
                    <pic:cNvPicPr/>
                  </pic:nvPicPr>
                  <pic:blipFill>
                    <a:blip r:embed="rId7">
                      <a:extLst>
                        <a:ext uri="{28A0092B-C50C-407E-A947-70E740481C1C}">
                          <a14:useLocalDpi xmlns:a14="http://schemas.microsoft.com/office/drawing/2010/main" val="0"/>
                        </a:ext>
                      </a:extLst>
                    </a:blip>
                    <a:stretch>
                      <a:fillRect/>
                    </a:stretch>
                  </pic:blipFill>
                  <pic:spPr>
                    <a:xfrm>
                      <a:off x="0" y="0"/>
                      <a:ext cx="1836605" cy="491553"/>
                    </a:xfrm>
                    <a:prstGeom prst="rect">
                      <a:avLst/>
                    </a:prstGeom>
                  </pic:spPr>
                </pic:pic>
              </a:graphicData>
            </a:graphic>
          </wp:inline>
        </w:drawing>
      </w:r>
    </w:p>
    <w:p w14:paraId="3B4FAE6D" w14:textId="02AE7F03" w:rsidR="00081AD6" w:rsidRDefault="00081AD6" w:rsidP="00671196">
      <w:pPr>
        <w:spacing w:after="0" w:line="240" w:lineRule="auto"/>
        <w:jc w:val="center"/>
      </w:pPr>
    </w:p>
    <w:p w14:paraId="4F4D3F51" w14:textId="38B65985" w:rsidR="00727C36" w:rsidRPr="00393455" w:rsidRDefault="00727C36" w:rsidP="00727C36">
      <w:pPr>
        <w:spacing w:after="0" w:line="240" w:lineRule="auto"/>
        <w:jc w:val="center"/>
        <w:rPr>
          <w:rFonts w:ascii="Arial" w:hAnsi="Arial" w:cs="Arial"/>
          <w:b/>
          <w:color w:val="FFFFFF" w:themeColor="background1"/>
        </w:rPr>
      </w:pPr>
      <w:r>
        <w:rPr>
          <w:rFonts w:ascii="Arial" w:hAnsi="Arial"/>
          <w:b/>
          <w:color w:val="FFFFFF" w:themeColor="background1"/>
        </w:rPr>
        <w:t>Voici un exemple de lettre de mandat qu’un directeur général peut fournir au conseil chaque année lors de l’évaluation de son rendement.</w:t>
      </w:r>
      <w:r w:rsidR="00F571BE">
        <w:rPr>
          <w:rFonts w:ascii="Arial" w:hAnsi="Arial"/>
          <w:b/>
          <w:color w:val="FFFFFF" w:themeColor="background1"/>
        </w:rPr>
        <w:t xml:space="preserve"> </w:t>
      </w:r>
      <w:r>
        <w:rPr>
          <w:rFonts w:ascii="Arial" w:hAnsi="Arial"/>
          <w:b/>
          <w:color w:val="FFFFFF" w:themeColor="background1"/>
        </w:rPr>
        <w:t>La première section décrit les attentes annuelles en matière de leadership d’un DG, notamment agir en tant que modèle et bon chef d’entreprise, et peut être personnalisée.</w:t>
      </w:r>
      <w:r w:rsidR="00F571BE">
        <w:rPr>
          <w:rFonts w:ascii="Arial" w:hAnsi="Arial"/>
          <w:b/>
          <w:color w:val="FFFFFF" w:themeColor="background1"/>
        </w:rPr>
        <w:t xml:space="preserve"> </w:t>
      </w:r>
      <w:r>
        <w:rPr>
          <w:rFonts w:ascii="Arial" w:hAnsi="Arial"/>
          <w:b/>
          <w:color w:val="FFFFFF" w:themeColor="background1"/>
        </w:rPr>
        <w:t>La deuxième section énumère les attentes spécifiques pour l’année en fonction des objectifs du conseil et du DG qui ont été approuvés par le conseil l’année précédente.</w:t>
      </w:r>
    </w:p>
    <w:p w14:paraId="7F7EE64C" w14:textId="77777777" w:rsidR="00727C36" w:rsidRPr="00F417E1" w:rsidRDefault="00727C36" w:rsidP="00671196">
      <w:pPr>
        <w:spacing w:after="0" w:line="240" w:lineRule="auto"/>
        <w:jc w:val="center"/>
        <w:rPr>
          <w:color w:val="9C5224"/>
        </w:rPr>
      </w:pPr>
    </w:p>
    <w:p w14:paraId="2DAA49D9" w14:textId="0C6E9A38" w:rsidR="00671196" w:rsidRDefault="00671196" w:rsidP="00671196">
      <w:pPr>
        <w:spacing w:after="0" w:line="240" w:lineRule="auto"/>
        <w:jc w:val="center"/>
        <w:rPr>
          <w:b/>
          <w:sz w:val="16"/>
          <w:szCs w:val="16"/>
        </w:rPr>
      </w:pPr>
    </w:p>
    <w:p w14:paraId="12F7D078" w14:textId="77777777" w:rsidR="00BB2EA5" w:rsidRPr="00BB2EA5" w:rsidRDefault="00BB2EA5" w:rsidP="00BB2EA5">
      <w:pPr>
        <w:spacing w:after="0"/>
        <w:jc w:val="center"/>
        <w:rPr>
          <w:rFonts w:ascii="Arial" w:eastAsia="Times New Roman" w:hAnsi="Arial" w:cs="Arial"/>
          <w:b/>
          <w:color w:val="9C5224"/>
          <w:sz w:val="36"/>
          <w:szCs w:val="36"/>
        </w:rPr>
      </w:pPr>
      <w:r>
        <w:rPr>
          <w:rFonts w:ascii="Arial" w:hAnsi="Arial"/>
          <w:b/>
          <w:color w:val="9C5224"/>
          <w:sz w:val="36"/>
          <w:szCs w:val="36"/>
        </w:rPr>
        <w:t>MODÈLE DE LETTRE DE MANDAT</w:t>
      </w:r>
    </w:p>
    <w:p w14:paraId="48053D45" w14:textId="695518E5" w:rsidR="00BB2EA5" w:rsidRDefault="00BB2EA5" w:rsidP="00BB2EA5">
      <w:pPr>
        <w:spacing w:after="0" w:line="280" w:lineRule="exact"/>
        <w:jc w:val="center"/>
        <w:rPr>
          <w:rFonts w:ascii="Arial" w:hAnsi="Arial"/>
          <w:b/>
          <w:color w:val="9C5224"/>
          <w:sz w:val="28"/>
          <w:szCs w:val="28"/>
        </w:rPr>
      </w:pPr>
      <w:r>
        <w:rPr>
          <w:rFonts w:ascii="Arial" w:hAnsi="Arial"/>
          <w:b/>
          <w:color w:val="9C5224"/>
          <w:sz w:val="28"/>
          <w:szCs w:val="28"/>
        </w:rPr>
        <w:t>Administrateur en chef</w:t>
      </w:r>
    </w:p>
    <w:p w14:paraId="00A8E9DA" w14:textId="50E94EC5" w:rsidR="00E77A2B" w:rsidRPr="00BB2EA5" w:rsidRDefault="00E77A2B" w:rsidP="00BB2EA5">
      <w:pPr>
        <w:spacing w:after="0" w:line="280" w:lineRule="exact"/>
        <w:jc w:val="center"/>
        <w:rPr>
          <w:rFonts w:ascii="Arial" w:eastAsia="Times New Roman" w:hAnsi="Arial" w:cs="Arial"/>
          <w:b/>
          <w:color w:val="9C5224"/>
          <w:sz w:val="28"/>
          <w:szCs w:val="28"/>
        </w:rPr>
      </w:pPr>
      <w:r>
        <w:rPr>
          <w:rFonts w:ascii="Arial" w:hAnsi="Arial"/>
          <w:b/>
          <w:color w:val="9C5224"/>
          <w:sz w:val="28"/>
          <w:szCs w:val="28"/>
        </w:rPr>
        <w:t>INSERT DATES</w:t>
      </w:r>
    </w:p>
    <w:p w14:paraId="53576EA1" w14:textId="2346163F" w:rsidR="00BB2EA5" w:rsidRDefault="00BB2EA5" w:rsidP="00E77A2B">
      <w:pPr>
        <w:spacing w:after="0" w:line="280" w:lineRule="exact"/>
        <w:jc w:val="center"/>
        <w:rPr>
          <w:rFonts w:ascii="Arial" w:hAnsi="Arial"/>
          <w:b/>
          <w:color w:val="9C5224"/>
          <w:sz w:val="28"/>
          <w:szCs w:val="28"/>
        </w:rPr>
      </w:pPr>
    </w:p>
    <w:p w14:paraId="7E482FC2" w14:textId="29DD8995" w:rsidR="00E54B68" w:rsidRDefault="00BB2EA5" w:rsidP="00BB2EA5">
      <w:pPr>
        <w:spacing w:after="200" w:line="240" w:lineRule="auto"/>
        <w:jc w:val="both"/>
        <w:rPr>
          <w:rFonts w:ascii="Arial" w:hAnsi="Arial" w:cs="Arial"/>
          <w:b/>
        </w:rPr>
      </w:pPr>
      <w:r>
        <w:rPr>
          <w:rFonts w:ascii="Arial" w:hAnsi="Arial"/>
          <w:b/>
        </w:rPr>
        <w:t>Le directeur général donne ses meilleurs conseils au conseil et dirige l’organisation municipale afin d’exécuter les directives du conseil; il adopte des valeurs cohérentes de conscience éthique élevée, d’honnêteté et d’équité; il élabore des objectifs et met en œuvre des plans stratégiques et opérationnels afin de réaliser la vision de la municipalité, ainsi que les objectifs financiers et opérationnels; il supervise les opérations de l’organisation municipale, élabore la gestion et attribue les ressources, et assure des contrôles pour protéger les biens municipaux; il travaille avec le conseil pour élaborer des politiques et maintenir la surveillance.</w:t>
      </w:r>
    </w:p>
    <w:p w14:paraId="4FDC57DB" w14:textId="056A245D" w:rsidR="00275DBF" w:rsidRPr="00BB2EA5" w:rsidRDefault="00081AD6" w:rsidP="00BB2EA5">
      <w:pPr>
        <w:rPr>
          <w:rFonts w:ascii="Arial" w:hAnsi="Arial" w:cs="Arial"/>
          <w:b/>
        </w:rPr>
      </w:pPr>
      <w:r>
        <w:rPr>
          <w:rFonts w:ascii="Arial" w:hAnsi="Arial"/>
          <w:b/>
          <w:color w:val="9C5224"/>
          <w:sz w:val="28"/>
          <w:szCs w:val="28"/>
        </w:rPr>
        <w:t xml:space="preserve">ATTENTES ANNUELLES DU DG EN MATIÈRE DE LEADERSHIP D’ENTREPRISE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47"/>
        <w:gridCol w:w="6803"/>
      </w:tblGrid>
      <w:tr w:rsidR="00081AD6" w:rsidRPr="00C34F9D" w14:paraId="43E8E92F" w14:textId="77777777" w:rsidTr="00BE2B9C">
        <w:tc>
          <w:tcPr>
            <w:tcW w:w="2547" w:type="dxa"/>
            <w:tcBorders>
              <w:top w:val="single" w:sz="12" w:space="0" w:color="000000" w:themeColor="text1"/>
              <w:bottom w:val="dashSmallGap" w:sz="4" w:space="0" w:color="808080" w:themeColor="background1" w:themeShade="80"/>
            </w:tcBorders>
          </w:tcPr>
          <w:p w14:paraId="6B3031CE" w14:textId="262627BD" w:rsidR="00081AD6" w:rsidRPr="00C34F9D" w:rsidRDefault="00081AD6" w:rsidP="003D4BDB">
            <w:pPr>
              <w:spacing w:before="60" w:after="60"/>
              <w:jc w:val="center"/>
              <w:rPr>
                <w:rFonts w:ascii="Arial" w:hAnsi="Arial" w:cs="Arial"/>
                <w:bCs/>
                <w:sz w:val="22"/>
                <w:szCs w:val="22"/>
              </w:rPr>
            </w:pPr>
            <w:r>
              <w:rPr>
                <w:rFonts w:ascii="Arial" w:hAnsi="Arial"/>
                <w:bCs/>
                <w:sz w:val="22"/>
                <w:szCs w:val="22"/>
              </w:rPr>
              <w:t>Efficacité réelle du personnel</w:t>
            </w:r>
          </w:p>
        </w:tc>
        <w:tc>
          <w:tcPr>
            <w:tcW w:w="6803" w:type="dxa"/>
            <w:tcBorders>
              <w:top w:val="single" w:sz="12" w:space="0" w:color="000000" w:themeColor="text1"/>
              <w:bottom w:val="dashSmallGap" w:sz="4" w:space="0" w:color="808080" w:themeColor="background1" w:themeShade="80"/>
            </w:tcBorders>
            <w:shd w:val="clear" w:color="auto" w:fill="F2F2F2" w:themeFill="background1" w:themeFillShade="F2"/>
          </w:tcPr>
          <w:p w14:paraId="32F38959" w14:textId="6F0972A2" w:rsidR="006B37B3" w:rsidRPr="00C34F9D" w:rsidRDefault="006B37B3" w:rsidP="003D4BDB">
            <w:pPr>
              <w:spacing w:before="60" w:after="60"/>
              <w:rPr>
                <w:rFonts w:ascii="Arial" w:hAnsi="Arial" w:cs="Arial"/>
                <w:bCs/>
                <w:sz w:val="22"/>
                <w:szCs w:val="22"/>
              </w:rPr>
            </w:pPr>
            <w:r>
              <w:rPr>
                <w:rFonts w:ascii="Arial" w:hAnsi="Arial"/>
                <w:bCs/>
                <w:sz w:val="22"/>
                <w:szCs w:val="22"/>
              </w:rPr>
              <w:t>Incarne les valeurs de l’entreprise, et crée et entretient une culture qui attire, retient et motive un personnel talentueux.</w:t>
            </w:r>
            <w:r w:rsidR="00F571BE">
              <w:rPr>
                <w:rFonts w:ascii="Arial" w:hAnsi="Arial"/>
                <w:bCs/>
                <w:sz w:val="22"/>
                <w:szCs w:val="22"/>
              </w:rPr>
              <w:t xml:space="preserve"> </w:t>
            </w:r>
            <w:r>
              <w:rPr>
                <w:rFonts w:ascii="Arial" w:hAnsi="Arial"/>
                <w:bCs/>
                <w:sz w:val="22"/>
                <w:szCs w:val="22"/>
              </w:rPr>
              <w:t>Encourage le développement et le rendement des employés à tous les niveaux de l’organisation.</w:t>
            </w:r>
            <w:r w:rsidR="00F571BE">
              <w:rPr>
                <w:rFonts w:ascii="Arial" w:hAnsi="Arial"/>
                <w:bCs/>
                <w:sz w:val="22"/>
                <w:szCs w:val="22"/>
              </w:rPr>
              <w:t xml:space="preserve"> </w:t>
            </w:r>
          </w:p>
        </w:tc>
      </w:tr>
      <w:tr w:rsidR="00081AD6" w:rsidRPr="00C34F9D" w14:paraId="3CD64504" w14:textId="77777777" w:rsidTr="00BE2B9C">
        <w:tc>
          <w:tcPr>
            <w:tcW w:w="2547" w:type="dxa"/>
            <w:tcBorders>
              <w:top w:val="dashSmallGap" w:sz="4" w:space="0" w:color="808080" w:themeColor="background1" w:themeShade="80"/>
              <w:bottom w:val="dashSmallGap" w:sz="4" w:space="0" w:color="808080" w:themeColor="background1" w:themeShade="80"/>
            </w:tcBorders>
          </w:tcPr>
          <w:p w14:paraId="59467F59" w14:textId="3C79A53B" w:rsidR="00081AD6" w:rsidRPr="00C34F9D" w:rsidRDefault="00081AD6" w:rsidP="003D4BDB">
            <w:pPr>
              <w:spacing w:before="60" w:after="60"/>
              <w:jc w:val="center"/>
              <w:rPr>
                <w:rFonts w:ascii="Arial" w:hAnsi="Arial" w:cs="Arial"/>
                <w:bCs/>
                <w:sz w:val="22"/>
                <w:szCs w:val="22"/>
              </w:rPr>
            </w:pPr>
            <w:r>
              <w:rPr>
                <w:rFonts w:ascii="Arial" w:hAnsi="Arial"/>
                <w:bCs/>
                <w:sz w:val="22"/>
                <w:szCs w:val="22"/>
              </w:rPr>
              <w:t>Facilitation des politiques et relations avec le conseil</w:t>
            </w:r>
          </w:p>
        </w:tc>
        <w:tc>
          <w:tcPr>
            <w:tcW w:w="6803"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009059EB" w14:textId="32D57925" w:rsidR="00081AD6" w:rsidRPr="00B41226" w:rsidRDefault="00081AD6" w:rsidP="003D4BDB">
            <w:pPr>
              <w:spacing w:before="60" w:after="60"/>
              <w:rPr>
                <w:rFonts w:ascii="Arial" w:hAnsi="Arial" w:cs="Arial"/>
                <w:bCs/>
                <w:sz w:val="22"/>
                <w:szCs w:val="22"/>
              </w:rPr>
            </w:pPr>
            <w:r>
              <w:rPr>
                <w:rFonts w:ascii="Arial" w:hAnsi="Arial"/>
                <w:bCs/>
                <w:sz w:val="22"/>
                <w:szCs w:val="22"/>
              </w:rPr>
              <w:t>Aide les élus en leur offrant des conseils, des orientations et des directives de haute qualité afin d’élaborer des décisions et des politiques du conseil.</w:t>
            </w:r>
            <w:r w:rsidR="00F571BE">
              <w:rPr>
                <w:rFonts w:ascii="Arial" w:hAnsi="Arial"/>
                <w:bCs/>
                <w:sz w:val="22"/>
                <w:szCs w:val="22"/>
              </w:rPr>
              <w:t xml:space="preserve"> </w:t>
            </w:r>
            <w:r>
              <w:rPr>
                <w:rFonts w:ascii="Arial" w:hAnsi="Arial"/>
                <w:bCs/>
                <w:sz w:val="22"/>
                <w:szCs w:val="22"/>
              </w:rPr>
              <w:t>Facilite la gouvernance et la prise de décision du conseil, et aide les autres acteurs de la communauté à identifier, à travailler et à atteindre des objectifs communs.</w:t>
            </w:r>
          </w:p>
        </w:tc>
      </w:tr>
      <w:tr w:rsidR="00CE5ABA" w:rsidRPr="00C34F9D" w14:paraId="590540C1" w14:textId="77777777" w:rsidTr="00BE2B9C">
        <w:tc>
          <w:tcPr>
            <w:tcW w:w="2547" w:type="dxa"/>
            <w:tcBorders>
              <w:top w:val="dashSmallGap" w:sz="4" w:space="0" w:color="808080" w:themeColor="background1" w:themeShade="80"/>
              <w:bottom w:val="dashSmallGap" w:sz="4" w:space="0" w:color="808080" w:themeColor="background1" w:themeShade="80"/>
            </w:tcBorders>
          </w:tcPr>
          <w:p w14:paraId="0FF8AA72" w14:textId="6116413F" w:rsidR="00CE5ABA" w:rsidRPr="0041191E" w:rsidRDefault="00CE5ABA" w:rsidP="003D4BDB">
            <w:pPr>
              <w:spacing w:before="60" w:after="60"/>
              <w:jc w:val="center"/>
              <w:rPr>
                <w:rFonts w:ascii="Arial" w:hAnsi="Arial" w:cs="Arial"/>
                <w:bCs/>
                <w:sz w:val="22"/>
                <w:szCs w:val="22"/>
              </w:rPr>
            </w:pPr>
            <w:r w:rsidRPr="0041191E">
              <w:rPr>
                <w:rFonts w:ascii="Arial" w:hAnsi="Arial"/>
                <w:bCs/>
                <w:sz w:val="22"/>
                <w:szCs w:val="22"/>
              </w:rPr>
              <w:t>Perspicacité politique</w:t>
            </w:r>
          </w:p>
        </w:tc>
        <w:tc>
          <w:tcPr>
            <w:tcW w:w="6803"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51AF9C1F" w14:textId="7678F08A" w:rsidR="00CE5ABA" w:rsidRPr="00B41226" w:rsidRDefault="00CE5ABA" w:rsidP="003D4BDB">
            <w:pPr>
              <w:spacing w:before="60" w:after="60"/>
              <w:rPr>
                <w:rFonts w:ascii="Arial" w:hAnsi="Arial" w:cs="Arial"/>
                <w:bCs/>
                <w:sz w:val="22"/>
                <w:szCs w:val="22"/>
              </w:rPr>
            </w:pPr>
            <w:r>
              <w:rPr>
                <w:rFonts w:ascii="Arial" w:hAnsi="Arial"/>
                <w:bCs/>
                <w:sz w:val="22"/>
                <w:szCs w:val="22"/>
              </w:rPr>
              <w:t>Représente correctement l’orientation du conseil municipal et guide le travail des cadres supérieurs de manière à appuyer l’orientation du conseil.</w:t>
            </w:r>
            <w:r w:rsidR="00F571BE">
              <w:rPr>
                <w:rFonts w:ascii="Arial" w:hAnsi="Arial"/>
                <w:bCs/>
                <w:sz w:val="22"/>
                <w:szCs w:val="22"/>
              </w:rPr>
              <w:t xml:space="preserve"> </w:t>
            </w:r>
            <w:r>
              <w:rPr>
                <w:rFonts w:ascii="Arial" w:hAnsi="Arial"/>
                <w:bCs/>
                <w:sz w:val="22"/>
                <w:szCs w:val="22"/>
              </w:rPr>
              <w:t>Prévoit les effets possibles des décisions sur le contexte politique ou stratégique.</w:t>
            </w:r>
          </w:p>
        </w:tc>
      </w:tr>
      <w:tr w:rsidR="00081AD6" w:rsidRPr="00C34F9D" w14:paraId="19626D0C" w14:textId="77777777" w:rsidTr="00BE2B9C">
        <w:tc>
          <w:tcPr>
            <w:tcW w:w="2547" w:type="dxa"/>
            <w:tcBorders>
              <w:top w:val="dashSmallGap" w:sz="4" w:space="0" w:color="808080" w:themeColor="background1" w:themeShade="80"/>
              <w:bottom w:val="dashSmallGap" w:sz="4" w:space="0" w:color="808080" w:themeColor="background1" w:themeShade="80"/>
            </w:tcBorders>
          </w:tcPr>
          <w:p w14:paraId="03229096" w14:textId="796A9B55" w:rsidR="00081AD6" w:rsidRPr="00C34F9D" w:rsidRDefault="00D02D6B" w:rsidP="003D4BDB">
            <w:pPr>
              <w:spacing w:before="60" w:after="60"/>
              <w:jc w:val="center"/>
              <w:rPr>
                <w:rFonts w:ascii="Arial" w:hAnsi="Arial" w:cs="Arial"/>
                <w:bCs/>
                <w:sz w:val="22"/>
                <w:szCs w:val="22"/>
              </w:rPr>
            </w:pPr>
            <w:r>
              <w:rPr>
                <w:rFonts w:ascii="Arial" w:hAnsi="Arial"/>
                <w:bCs/>
                <w:sz w:val="22"/>
                <w:szCs w:val="22"/>
              </w:rPr>
              <w:t>Compétence et planification fonctionnelles et opérationnelles</w:t>
            </w:r>
          </w:p>
        </w:tc>
        <w:tc>
          <w:tcPr>
            <w:tcW w:w="6803"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6011792C" w14:textId="2FD12AAD" w:rsidR="00081AD6" w:rsidRPr="00B41226" w:rsidRDefault="00D02D6B" w:rsidP="003D4BDB">
            <w:pPr>
              <w:spacing w:before="60" w:after="60"/>
              <w:rPr>
                <w:rFonts w:ascii="Arial" w:hAnsi="Arial" w:cs="Arial"/>
                <w:bCs/>
                <w:sz w:val="22"/>
                <w:szCs w:val="22"/>
              </w:rPr>
            </w:pPr>
            <w:r>
              <w:rPr>
                <w:rFonts w:ascii="Arial" w:hAnsi="Arial"/>
                <w:bCs/>
                <w:sz w:val="22"/>
                <w:szCs w:val="22"/>
              </w:rPr>
              <w:t>Aide les départements à prendre des décisions relatives aux prestations de services et aux opérations de travail tout en encourageant le travail d’équipe et la résolution efficace des problèmes parmi les membres du personnel, en éliminant les obstacles entre les départements.</w:t>
            </w:r>
          </w:p>
        </w:tc>
      </w:tr>
      <w:tr w:rsidR="00081AD6" w:rsidRPr="00C34F9D" w14:paraId="29861310" w14:textId="77777777" w:rsidTr="00BE2B9C">
        <w:tc>
          <w:tcPr>
            <w:tcW w:w="2547" w:type="dxa"/>
            <w:tcBorders>
              <w:top w:val="dashSmallGap" w:sz="4" w:space="0" w:color="808080" w:themeColor="background1" w:themeShade="80"/>
              <w:bottom w:val="dashSmallGap" w:sz="4" w:space="0" w:color="808080" w:themeColor="background1" w:themeShade="80"/>
            </w:tcBorders>
          </w:tcPr>
          <w:p w14:paraId="6FFE2A97" w14:textId="6E7E8D26" w:rsidR="00081AD6" w:rsidRPr="00C34F9D" w:rsidRDefault="00D02D6B" w:rsidP="003D4BDB">
            <w:pPr>
              <w:spacing w:before="60" w:after="60"/>
              <w:jc w:val="center"/>
              <w:rPr>
                <w:rFonts w:ascii="Arial" w:hAnsi="Arial" w:cs="Arial"/>
                <w:bCs/>
                <w:sz w:val="22"/>
                <w:szCs w:val="22"/>
              </w:rPr>
            </w:pPr>
            <w:r>
              <w:rPr>
                <w:rFonts w:ascii="Arial" w:hAnsi="Arial"/>
                <w:bCs/>
                <w:sz w:val="22"/>
                <w:szCs w:val="22"/>
              </w:rPr>
              <w:t>Gestion de la prestation des services</w:t>
            </w:r>
          </w:p>
        </w:tc>
        <w:tc>
          <w:tcPr>
            <w:tcW w:w="6803"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04B4DCC5" w14:textId="2A0DE9F9" w:rsidR="00081AD6" w:rsidRPr="00C34F9D" w:rsidRDefault="00D02D6B" w:rsidP="003D4BDB">
            <w:pPr>
              <w:spacing w:before="60" w:after="60"/>
              <w:rPr>
                <w:rFonts w:ascii="Arial" w:hAnsi="Arial" w:cs="Arial"/>
                <w:bCs/>
                <w:sz w:val="22"/>
                <w:szCs w:val="22"/>
              </w:rPr>
            </w:pPr>
            <w:r>
              <w:rPr>
                <w:rFonts w:ascii="Arial" w:hAnsi="Arial"/>
                <w:bCs/>
                <w:sz w:val="22"/>
                <w:szCs w:val="22"/>
              </w:rPr>
              <w:t>Maintient un niveau de qualité élevé et constant en ce qui concerne le travail du personnel, les procédures opérationnelles et la prestation de services de manière efficace et productive, en mettant en œuvre des changements de procédures si nécessaire. Établit de solides relations de collaboration mutuellement profitables avec les clients et les organismes partenaires.</w:t>
            </w:r>
          </w:p>
        </w:tc>
      </w:tr>
      <w:tr w:rsidR="00081AD6" w:rsidRPr="00C34F9D" w14:paraId="67425C26" w14:textId="77777777" w:rsidTr="00BE2B9C">
        <w:tc>
          <w:tcPr>
            <w:tcW w:w="2547" w:type="dxa"/>
            <w:tcBorders>
              <w:top w:val="dashSmallGap" w:sz="4" w:space="0" w:color="808080" w:themeColor="background1" w:themeShade="80"/>
              <w:bottom w:val="dashSmallGap" w:sz="4" w:space="0" w:color="808080" w:themeColor="background1" w:themeShade="80"/>
            </w:tcBorders>
          </w:tcPr>
          <w:p w14:paraId="179607B5" w14:textId="06FE1AB1" w:rsidR="00081AD6" w:rsidRPr="00C34F9D" w:rsidRDefault="00D02D6B" w:rsidP="003D4BDB">
            <w:pPr>
              <w:spacing w:before="60" w:after="60"/>
              <w:jc w:val="center"/>
              <w:rPr>
                <w:rFonts w:ascii="Arial" w:hAnsi="Arial" w:cs="Arial"/>
                <w:bCs/>
                <w:sz w:val="22"/>
                <w:szCs w:val="22"/>
              </w:rPr>
            </w:pPr>
            <w:r>
              <w:rPr>
                <w:rFonts w:ascii="Arial" w:hAnsi="Arial"/>
                <w:bCs/>
                <w:sz w:val="22"/>
                <w:szCs w:val="22"/>
              </w:rPr>
              <w:lastRenderedPageBreak/>
              <w:t>Leadership stratégique</w:t>
            </w:r>
          </w:p>
        </w:tc>
        <w:tc>
          <w:tcPr>
            <w:tcW w:w="6803"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71B27BC0" w14:textId="55B5AABF" w:rsidR="008B7BD1" w:rsidRPr="00C34F9D" w:rsidRDefault="00DB252C" w:rsidP="003D4BDB">
            <w:pPr>
              <w:spacing w:before="60" w:after="60"/>
              <w:rPr>
                <w:rFonts w:ascii="Arial" w:hAnsi="Arial" w:cs="Arial"/>
                <w:bCs/>
                <w:sz w:val="22"/>
                <w:szCs w:val="22"/>
              </w:rPr>
            </w:pPr>
            <w:r>
              <w:rPr>
                <w:rFonts w:ascii="Arial" w:hAnsi="Arial"/>
                <w:bCs/>
                <w:sz w:val="22"/>
                <w:szCs w:val="22"/>
              </w:rPr>
              <w:t>Établit un lien entre les décisions commerciales, l’orientation stratégique et la viabilité à long terme de l’organisation et recherche des solutions créatives qui soutiennent une culture d’amélioration continue.</w:t>
            </w:r>
            <w:r w:rsidR="00F571BE">
              <w:rPr>
                <w:rFonts w:ascii="Arial" w:hAnsi="Arial"/>
                <w:bCs/>
                <w:sz w:val="22"/>
                <w:szCs w:val="22"/>
              </w:rPr>
              <w:t xml:space="preserve"> </w:t>
            </w:r>
          </w:p>
        </w:tc>
      </w:tr>
      <w:tr w:rsidR="00081AD6" w:rsidRPr="00C34F9D" w14:paraId="57487166" w14:textId="77777777" w:rsidTr="00BE2B9C">
        <w:trPr>
          <w:trHeight w:val="1260"/>
        </w:trPr>
        <w:tc>
          <w:tcPr>
            <w:tcW w:w="2547" w:type="dxa"/>
            <w:tcBorders>
              <w:top w:val="dashSmallGap" w:sz="4" w:space="0" w:color="808080" w:themeColor="background1" w:themeShade="80"/>
              <w:bottom w:val="dashSmallGap" w:sz="4" w:space="0" w:color="auto"/>
            </w:tcBorders>
          </w:tcPr>
          <w:p w14:paraId="77D6111E" w14:textId="02801B89" w:rsidR="00081AD6" w:rsidRPr="00C34F9D" w:rsidRDefault="00D02D6B" w:rsidP="003D4BDB">
            <w:pPr>
              <w:spacing w:before="60" w:after="60"/>
              <w:jc w:val="center"/>
              <w:rPr>
                <w:rFonts w:ascii="Arial" w:hAnsi="Arial" w:cs="Arial"/>
                <w:bCs/>
                <w:sz w:val="22"/>
                <w:szCs w:val="22"/>
              </w:rPr>
            </w:pPr>
            <w:r>
              <w:rPr>
                <w:rFonts w:ascii="Arial" w:hAnsi="Arial"/>
                <w:bCs/>
                <w:sz w:val="22"/>
                <w:szCs w:val="22"/>
              </w:rPr>
              <w:t xml:space="preserve">Promotion de la démocratie et </w:t>
            </w:r>
            <w:r w:rsidR="0041191E">
              <w:rPr>
                <w:rFonts w:ascii="Arial" w:hAnsi="Arial"/>
                <w:bCs/>
                <w:sz w:val="22"/>
                <w:szCs w:val="22"/>
              </w:rPr>
              <w:t xml:space="preserve">de </w:t>
            </w:r>
            <w:r>
              <w:rPr>
                <w:rFonts w:ascii="Arial" w:hAnsi="Arial"/>
                <w:bCs/>
                <w:sz w:val="22"/>
                <w:szCs w:val="22"/>
              </w:rPr>
              <w:t>la participation citoyenne</w:t>
            </w:r>
          </w:p>
        </w:tc>
        <w:tc>
          <w:tcPr>
            <w:tcW w:w="6803" w:type="dxa"/>
            <w:tcBorders>
              <w:top w:val="dashSmallGap" w:sz="4" w:space="0" w:color="808080" w:themeColor="background1" w:themeShade="80"/>
              <w:bottom w:val="dashSmallGap" w:sz="4" w:space="0" w:color="auto"/>
            </w:tcBorders>
            <w:shd w:val="clear" w:color="auto" w:fill="F2F2F2" w:themeFill="background1" w:themeFillShade="F2"/>
          </w:tcPr>
          <w:p w14:paraId="6A5B9AA4" w14:textId="2C1031FC" w:rsidR="009D3144" w:rsidRPr="00C34F9D" w:rsidRDefault="00D02D6B" w:rsidP="003D4BDB">
            <w:pPr>
              <w:spacing w:before="60" w:after="60"/>
              <w:rPr>
                <w:rFonts w:ascii="Arial" w:hAnsi="Arial" w:cs="Arial"/>
                <w:bCs/>
                <w:sz w:val="22"/>
                <w:szCs w:val="22"/>
              </w:rPr>
            </w:pPr>
            <w:r>
              <w:rPr>
                <w:rFonts w:ascii="Arial" w:hAnsi="Arial"/>
                <w:bCs/>
                <w:sz w:val="22"/>
                <w:szCs w:val="22"/>
              </w:rPr>
              <w:t>Démontre un engagement envers les principes démocratiques en respectant les représentants élus, les groupes d’intérêt communautaires et le processus décisionnel.</w:t>
            </w:r>
          </w:p>
        </w:tc>
      </w:tr>
      <w:tr w:rsidR="00081AD6" w:rsidRPr="00C34F9D" w14:paraId="55DEE15A" w14:textId="77777777" w:rsidTr="00BE2B9C">
        <w:tc>
          <w:tcPr>
            <w:tcW w:w="2547" w:type="dxa"/>
            <w:tcBorders>
              <w:top w:val="dashSmallGap" w:sz="4" w:space="0" w:color="808080" w:themeColor="background1" w:themeShade="80"/>
              <w:bottom w:val="dashSmallGap" w:sz="4" w:space="0" w:color="808080" w:themeColor="background1" w:themeShade="80"/>
            </w:tcBorders>
          </w:tcPr>
          <w:p w14:paraId="11333E82" w14:textId="6C70D149" w:rsidR="00081AD6" w:rsidRPr="00C34F9D" w:rsidRDefault="00D02D6B" w:rsidP="003D4BDB">
            <w:pPr>
              <w:spacing w:before="60" w:after="60"/>
              <w:jc w:val="center"/>
              <w:rPr>
                <w:rFonts w:ascii="Arial" w:hAnsi="Arial" w:cs="Arial"/>
                <w:bCs/>
                <w:sz w:val="22"/>
                <w:szCs w:val="22"/>
              </w:rPr>
            </w:pPr>
            <w:r>
              <w:rPr>
                <w:rFonts w:ascii="Arial" w:hAnsi="Arial"/>
                <w:bCs/>
                <w:sz w:val="22"/>
                <w:szCs w:val="22"/>
              </w:rPr>
              <w:t>Diversité</w:t>
            </w:r>
          </w:p>
        </w:tc>
        <w:tc>
          <w:tcPr>
            <w:tcW w:w="6803"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75F1BCA4" w14:textId="6DA2722A" w:rsidR="009449DC" w:rsidRPr="00C34F9D" w:rsidRDefault="00DB3C34" w:rsidP="003D4BDB">
            <w:pPr>
              <w:spacing w:before="60" w:after="60"/>
              <w:rPr>
                <w:rFonts w:ascii="Arial" w:hAnsi="Arial" w:cs="Arial"/>
                <w:bCs/>
                <w:sz w:val="22"/>
                <w:szCs w:val="22"/>
              </w:rPr>
            </w:pPr>
            <w:r w:rsidRPr="00106900">
              <w:rPr>
                <w:rFonts w:ascii="Arial" w:hAnsi="Arial"/>
                <w:bCs/>
              </w:rPr>
              <w:t>Comprend et valorise la différence entre les gens et défend ces valeurs à l’échelle de l’organisation et de la communauté.</w:t>
            </w:r>
            <w:r w:rsidRPr="00DB3C34">
              <w:rPr>
                <w:rFonts w:ascii="Arial" w:hAnsi="Arial"/>
                <w:bCs/>
                <w:sz w:val="22"/>
                <w:szCs w:val="22"/>
              </w:rPr>
              <w:t xml:space="preserve"> </w:t>
            </w:r>
            <w:r w:rsidR="00D02D6B">
              <w:rPr>
                <w:rFonts w:ascii="Arial" w:hAnsi="Arial"/>
                <w:bCs/>
                <w:sz w:val="22"/>
                <w:szCs w:val="22"/>
              </w:rPr>
              <w:t>Il s’agit notamment d’attirer, de retenir et de développer une main-d’œuvre diversifiée et de maintenir un lieu de travail respectueux.</w:t>
            </w:r>
          </w:p>
        </w:tc>
      </w:tr>
      <w:tr w:rsidR="00081AD6" w:rsidRPr="00C34F9D" w14:paraId="39766EC4" w14:textId="77777777" w:rsidTr="00BE2B9C">
        <w:tc>
          <w:tcPr>
            <w:tcW w:w="2547" w:type="dxa"/>
            <w:tcBorders>
              <w:top w:val="dashSmallGap" w:sz="4" w:space="0" w:color="808080" w:themeColor="background1" w:themeShade="80"/>
              <w:bottom w:val="dashSmallGap" w:sz="4" w:space="0" w:color="808080" w:themeColor="background1" w:themeShade="80"/>
            </w:tcBorders>
          </w:tcPr>
          <w:p w14:paraId="62782A9C" w14:textId="78C5600D" w:rsidR="00081AD6" w:rsidRPr="00C34F9D" w:rsidRDefault="00D02D6B" w:rsidP="003D4BDB">
            <w:pPr>
              <w:spacing w:before="60" w:after="60"/>
              <w:jc w:val="center"/>
              <w:rPr>
                <w:rFonts w:ascii="Arial" w:hAnsi="Arial" w:cs="Arial"/>
                <w:bCs/>
                <w:sz w:val="22"/>
                <w:szCs w:val="22"/>
              </w:rPr>
            </w:pPr>
            <w:r>
              <w:rPr>
                <w:rFonts w:ascii="Arial" w:hAnsi="Arial"/>
                <w:bCs/>
                <w:sz w:val="22"/>
                <w:szCs w:val="22"/>
              </w:rPr>
              <w:t>Budgétisation et analyse financière</w:t>
            </w:r>
          </w:p>
        </w:tc>
        <w:tc>
          <w:tcPr>
            <w:tcW w:w="6803"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3707989C" w14:textId="6AC39DED" w:rsidR="009449DC" w:rsidRPr="00C34F9D" w:rsidRDefault="00D02D6B" w:rsidP="003D4BDB">
            <w:pPr>
              <w:spacing w:before="60" w:after="60"/>
              <w:rPr>
                <w:rFonts w:ascii="Arial" w:hAnsi="Arial" w:cs="Arial"/>
                <w:bCs/>
                <w:sz w:val="22"/>
                <w:szCs w:val="22"/>
              </w:rPr>
            </w:pPr>
            <w:r>
              <w:rPr>
                <w:rFonts w:ascii="Arial" w:hAnsi="Arial"/>
                <w:bCs/>
                <w:sz w:val="22"/>
                <w:szCs w:val="22"/>
              </w:rPr>
              <w:t>Prépare et gère un budget équilibré afin de fournir des services au niveau prescrit par le conseil et favorise la discipline fiscale et la responsabilisation du personnel en veillant à ce que le fonctionnement de la municipalité soit efficient et efficace à court et à long terme. S’assure que la municipalité est en mesure d’accéder à tous les programmes de financement auxquels elle est admissible de la part des autres ordres de gouvernement.</w:t>
            </w:r>
            <w:r w:rsidR="00F571BE">
              <w:rPr>
                <w:rFonts w:ascii="Arial" w:hAnsi="Arial"/>
                <w:bCs/>
                <w:sz w:val="22"/>
                <w:szCs w:val="22"/>
              </w:rPr>
              <w:t xml:space="preserve"> </w:t>
            </w:r>
            <w:r>
              <w:rPr>
                <w:rFonts w:ascii="Arial" w:hAnsi="Arial"/>
                <w:bCs/>
                <w:sz w:val="22"/>
                <w:szCs w:val="22"/>
              </w:rPr>
              <w:t>Veille à ce que la municipalité soit dans une position lui permettant d’accéder à tous les programmes de financement public auxquels elle est admissible.</w:t>
            </w:r>
          </w:p>
        </w:tc>
      </w:tr>
      <w:tr w:rsidR="00081AD6" w:rsidRPr="00C34F9D" w14:paraId="60052605" w14:textId="77777777" w:rsidTr="00BE2B9C">
        <w:tc>
          <w:tcPr>
            <w:tcW w:w="2547" w:type="dxa"/>
            <w:tcBorders>
              <w:top w:val="dashSmallGap" w:sz="4" w:space="0" w:color="808080" w:themeColor="background1" w:themeShade="80"/>
              <w:bottom w:val="dashSmallGap" w:sz="4" w:space="0" w:color="auto"/>
            </w:tcBorders>
          </w:tcPr>
          <w:p w14:paraId="0F8423BB" w14:textId="600F50E9" w:rsidR="00081AD6" w:rsidRPr="00C34F9D" w:rsidRDefault="00D02D6B" w:rsidP="003D4BDB">
            <w:pPr>
              <w:spacing w:before="60" w:after="60"/>
              <w:jc w:val="center"/>
              <w:rPr>
                <w:rFonts w:ascii="Arial" w:hAnsi="Arial" w:cs="Arial"/>
                <w:bCs/>
                <w:sz w:val="22"/>
                <w:szCs w:val="22"/>
              </w:rPr>
            </w:pPr>
            <w:r>
              <w:rPr>
                <w:rFonts w:ascii="Arial" w:hAnsi="Arial"/>
                <w:bCs/>
                <w:sz w:val="22"/>
                <w:szCs w:val="22"/>
              </w:rPr>
              <w:t>Gestion des ressources humaines</w:t>
            </w:r>
          </w:p>
        </w:tc>
        <w:tc>
          <w:tcPr>
            <w:tcW w:w="6803" w:type="dxa"/>
            <w:tcBorders>
              <w:top w:val="dashSmallGap" w:sz="4" w:space="0" w:color="808080" w:themeColor="background1" w:themeShade="80"/>
              <w:bottom w:val="dashSmallGap" w:sz="4" w:space="0" w:color="auto"/>
            </w:tcBorders>
            <w:shd w:val="clear" w:color="auto" w:fill="F2F2F2" w:themeFill="background1" w:themeFillShade="F2"/>
          </w:tcPr>
          <w:p w14:paraId="5B5B7E32" w14:textId="4E0BD011" w:rsidR="00925B30" w:rsidRPr="00C34F9D" w:rsidRDefault="00D02D6B" w:rsidP="003D4BDB">
            <w:pPr>
              <w:spacing w:before="60" w:after="60"/>
              <w:rPr>
                <w:rFonts w:ascii="Arial" w:hAnsi="Arial" w:cs="Arial"/>
                <w:bCs/>
                <w:sz w:val="22"/>
                <w:szCs w:val="22"/>
              </w:rPr>
            </w:pPr>
            <w:r>
              <w:rPr>
                <w:rFonts w:ascii="Arial" w:hAnsi="Arial"/>
                <w:bCs/>
                <w:sz w:val="22"/>
                <w:szCs w:val="22"/>
              </w:rPr>
              <w:t>Veille à ce que les politiques et procédures entourant l’embauche, la promotion, l’évaluation du rendement et les mesures disciplinaires soient équitables, légales et à jour.</w:t>
            </w:r>
          </w:p>
        </w:tc>
      </w:tr>
      <w:tr w:rsidR="00081AD6" w:rsidRPr="00C34F9D" w14:paraId="5D701F50" w14:textId="77777777" w:rsidTr="00BE2B9C">
        <w:tc>
          <w:tcPr>
            <w:tcW w:w="2547" w:type="dxa"/>
            <w:tcBorders>
              <w:top w:val="dashSmallGap" w:sz="4" w:space="0" w:color="auto"/>
              <w:bottom w:val="dashSmallGap" w:sz="4" w:space="0" w:color="808080" w:themeColor="background1" w:themeShade="80"/>
            </w:tcBorders>
          </w:tcPr>
          <w:p w14:paraId="40907033" w14:textId="144FB70A" w:rsidR="00081AD6" w:rsidRPr="00C34F9D" w:rsidRDefault="00D02D6B" w:rsidP="003D4BDB">
            <w:pPr>
              <w:spacing w:before="60" w:after="60"/>
              <w:jc w:val="center"/>
              <w:rPr>
                <w:rFonts w:ascii="Arial" w:hAnsi="Arial" w:cs="Arial"/>
                <w:bCs/>
                <w:sz w:val="22"/>
                <w:szCs w:val="22"/>
              </w:rPr>
            </w:pPr>
            <w:r>
              <w:rPr>
                <w:rFonts w:ascii="Arial" w:hAnsi="Arial"/>
                <w:bCs/>
                <w:sz w:val="22"/>
                <w:szCs w:val="22"/>
              </w:rPr>
              <w:t>La planification stratégique</w:t>
            </w:r>
          </w:p>
        </w:tc>
        <w:tc>
          <w:tcPr>
            <w:tcW w:w="6803" w:type="dxa"/>
            <w:tcBorders>
              <w:top w:val="dashSmallGap" w:sz="4" w:space="0" w:color="auto"/>
              <w:bottom w:val="dashSmallGap" w:sz="4" w:space="0" w:color="808080" w:themeColor="background1" w:themeShade="80"/>
            </w:tcBorders>
            <w:shd w:val="clear" w:color="auto" w:fill="F2F2F2" w:themeFill="background1" w:themeFillShade="F2"/>
          </w:tcPr>
          <w:p w14:paraId="002D1AF7" w14:textId="006B3858" w:rsidR="00081AD6" w:rsidRPr="00C34F9D" w:rsidRDefault="00D02D6B" w:rsidP="003D4BDB">
            <w:pPr>
              <w:spacing w:before="60" w:after="60"/>
              <w:rPr>
                <w:rFonts w:ascii="Arial" w:hAnsi="Arial" w:cs="Arial"/>
                <w:bCs/>
                <w:sz w:val="22"/>
                <w:szCs w:val="22"/>
              </w:rPr>
            </w:pPr>
            <w:r>
              <w:rPr>
                <w:rFonts w:ascii="Arial" w:hAnsi="Arial"/>
                <w:bCs/>
                <w:sz w:val="22"/>
                <w:szCs w:val="22"/>
              </w:rPr>
              <w:t xml:space="preserve">Positionne l’organisation et la communauté relativement aux événements et aux circonstances prévues à l’avenir en élaborant un plan clair comprenant des programmes et des services qui reflètent la vision, la mission et le plan stratégique du conseil, notamment la révision des priorités annuelles et l’identification de nouvelles initiatives avec le conseil. </w:t>
            </w:r>
          </w:p>
        </w:tc>
      </w:tr>
      <w:tr w:rsidR="00081AD6" w:rsidRPr="00C34F9D" w14:paraId="0B0CFE0B" w14:textId="77777777" w:rsidTr="00BE2B9C">
        <w:tc>
          <w:tcPr>
            <w:tcW w:w="2547" w:type="dxa"/>
            <w:tcBorders>
              <w:top w:val="dashSmallGap" w:sz="4" w:space="0" w:color="808080" w:themeColor="background1" w:themeShade="80"/>
              <w:bottom w:val="dashSmallGap" w:sz="4" w:space="0" w:color="808080" w:themeColor="background1" w:themeShade="80"/>
            </w:tcBorders>
          </w:tcPr>
          <w:p w14:paraId="6DF958EA" w14:textId="77777777" w:rsidR="00081AD6" w:rsidRDefault="00D02D6B" w:rsidP="003D4BDB">
            <w:pPr>
              <w:spacing w:before="60" w:after="60"/>
              <w:jc w:val="center"/>
              <w:rPr>
                <w:rFonts w:ascii="Arial" w:hAnsi="Arial" w:cs="Arial"/>
                <w:bCs/>
                <w:sz w:val="22"/>
                <w:szCs w:val="22"/>
              </w:rPr>
            </w:pPr>
            <w:r>
              <w:rPr>
                <w:rFonts w:ascii="Arial" w:hAnsi="Arial"/>
                <w:bCs/>
                <w:sz w:val="22"/>
                <w:szCs w:val="22"/>
              </w:rPr>
              <w:t>Défense des intérêts et communication interpersonnelle</w:t>
            </w:r>
          </w:p>
          <w:p w14:paraId="316E3900" w14:textId="575188C9" w:rsidR="00925B30" w:rsidRPr="00C34F9D" w:rsidRDefault="00925B30" w:rsidP="003D4BDB">
            <w:pPr>
              <w:spacing w:before="60" w:after="60"/>
              <w:jc w:val="center"/>
              <w:rPr>
                <w:rFonts w:ascii="Arial" w:hAnsi="Arial" w:cs="Arial"/>
                <w:bCs/>
                <w:sz w:val="22"/>
                <w:szCs w:val="22"/>
              </w:rPr>
            </w:pPr>
          </w:p>
        </w:tc>
        <w:tc>
          <w:tcPr>
            <w:tcW w:w="6803"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6C8D7D4E" w14:textId="3705ABF7" w:rsidR="00925B30" w:rsidRPr="00C34F9D" w:rsidRDefault="00D02D6B" w:rsidP="003D4BDB">
            <w:pPr>
              <w:spacing w:before="60" w:after="60"/>
              <w:rPr>
                <w:rFonts w:ascii="Arial" w:hAnsi="Arial" w:cs="Arial"/>
                <w:bCs/>
                <w:sz w:val="22"/>
                <w:szCs w:val="22"/>
              </w:rPr>
            </w:pPr>
            <w:r>
              <w:rPr>
                <w:rFonts w:ascii="Arial" w:hAnsi="Arial"/>
                <w:bCs/>
                <w:sz w:val="22"/>
                <w:szCs w:val="22"/>
              </w:rPr>
              <w:t>Facilite l’échange d’idées et d’information, ainsi que la compréhension entre les personnes de manière respectueuse; défend efficacement les intérêts de la communauté.</w:t>
            </w:r>
            <w:r w:rsidR="00F571BE">
              <w:rPr>
                <w:rFonts w:ascii="Arial" w:hAnsi="Arial"/>
                <w:bCs/>
                <w:sz w:val="22"/>
                <w:szCs w:val="22"/>
              </w:rPr>
              <w:t xml:space="preserve"> </w:t>
            </w:r>
            <w:r>
              <w:rPr>
                <w:rFonts w:ascii="Arial" w:hAnsi="Arial"/>
                <w:bCs/>
                <w:sz w:val="22"/>
                <w:szCs w:val="22"/>
              </w:rPr>
              <w:t>Établit de bons rapports avec les parties intéressées, notamment le conseil municipal, les employés, les organisations externes, les partenaires et les membres du public.</w:t>
            </w:r>
            <w:r w:rsidR="00F571BE">
              <w:rPr>
                <w:rFonts w:ascii="Arial" w:hAnsi="Arial"/>
                <w:bCs/>
                <w:sz w:val="22"/>
                <w:szCs w:val="22"/>
              </w:rPr>
              <w:t xml:space="preserve"> </w:t>
            </w:r>
            <w:r>
              <w:rPr>
                <w:rFonts w:ascii="Arial" w:hAnsi="Arial"/>
                <w:bCs/>
                <w:sz w:val="22"/>
                <w:szCs w:val="22"/>
              </w:rPr>
              <w:t>Tient le conseil au courant suffisamment à l’avance de toutes les questions importantes et pertinentes pour la municipalité en matière d’activités, de finances, de défense des intérêts et de risque.</w:t>
            </w:r>
          </w:p>
        </w:tc>
      </w:tr>
      <w:tr w:rsidR="00081AD6" w:rsidRPr="00C34F9D" w14:paraId="13B990E2" w14:textId="77777777" w:rsidTr="00BE2B9C">
        <w:tc>
          <w:tcPr>
            <w:tcW w:w="2547" w:type="dxa"/>
            <w:tcBorders>
              <w:top w:val="dashSmallGap" w:sz="4" w:space="0" w:color="808080" w:themeColor="background1" w:themeShade="80"/>
              <w:bottom w:val="dashSmallGap" w:sz="4" w:space="0" w:color="808080" w:themeColor="background1" w:themeShade="80"/>
            </w:tcBorders>
          </w:tcPr>
          <w:p w14:paraId="0C7AA445" w14:textId="23906A26" w:rsidR="00081AD6" w:rsidRPr="00C34F9D" w:rsidRDefault="00D02D6B" w:rsidP="003D4BDB">
            <w:pPr>
              <w:spacing w:before="60" w:after="60"/>
              <w:jc w:val="center"/>
              <w:rPr>
                <w:rFonts w:ascii="Arial" w:hAnsi="Arial" w:cs="Arial"/>
                <w:bCs/>
                <w:sz w:val="22"/>
                <w:szCs w:val="22"/>
              </w:rPr>
            </w:pPr>
            <w:r>
              <w:rPr>
                <w:rFonts w:ascii="Arial" w:hAnsi="Arial"/>
                <w:bCs/>
                <w:sz w:val="22"/>
                <w:szCs w:val="22"/>
              </w:rPr>
              <w:t>Relations avec les médias</w:t>
            </w:r>
          </w:p>
        </w:tc>
        <w:tc>
          <w:tcPr>
            <w:tcW w:w="6803"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57FCAE5A" w14:textId="0E4B86C6" w:rsidR="0070124B" w:rsidRPr="00C34F9D" w:rsidRDefault="00D02D6B" w:rsidP="003D4BDB">
            <w:pPr>
              <w:spacing w:before="60" w:after="60"/>
              <w:rPr>
                <w:rFonts w:ascii="Arial" w:hAnsi="Arial" w:cs="Arial"/>
                <w:bCs/>
                <w:sz w:val="22"/>
                <w:szCs w:val="22"/>
              </w:rPr>
            </w:pPr>
            <w:r>
              <w:rPr>
                <w:rFonts w:ascii="Arial" w:hAnsi="Arial"/>
                <w:bCs/>
                <w:sz w:val="22"/>
                <w:szCs w:val="22"/>
              </w:rPr>
              <w:t>Établit une relation positive avec les médias, sans parti pris, et communique des informations de manière claire et convaincante afin de permettre au public de mieux comprendre les questions et les activités des administrations locales.</w:t>
            </w:r>
          </w:p>
        </w:tc>
      </w:tr>
      <w:tr w:rsidR="00D02D6B" w:rsidRPr="00C34F9D" w14:paraId="73C5F44E" w14:textId="77777777" w:rsidTr="00BE2B9C">
        <w:tc>
          <w:tcPr>
            <w:tcW w:w="2547" w:type="dxa"/>
            <w:tcBorders>
              <w:top w:val="dashSmallGap" w:sz="4" w:space="0" w:color="808080" w:themeColor="background1" w:themeShade="80"/>
              <w:bottom w:val="dashSmallGap" w:sz="4" w:space="0" w:color="808080" w:themeColor="background1" w:themeShade="80"/>
            </w:tcBorders>
          </w:tcPr>
          <w:p w14:paraId="5101B909" w14:textId="52958670" w:rsidR="00D02D6B" w:rsidRPr="00C34F9D" w:rsidRDefault="00D02D6B" w:rsidP="003D4BDB">
            <w:pPr>
              <w:spacing w:before="60" w:after="60"/>
              <w:jc w:val="center"/>
              <w:rPr>
                <w:rFonts w:ascii="Arial" w:hAnsi="Arial" w:cs="Arial"/>
                <w:bCs/>
                <w:sz w:val="22"/>
                <w:szCs w:val="22"/>
              </w:rPr>
            </w:pPr>
            <w:r>
              <w:rPr>
                <w:rFonts w:ascii="Arial" w:hAnsi="Arial"/>
                <w:bCs/>
                <w:sz w:val="22"/>
                <w:szCs w:val="22"/>
              </w:rPr>
              <w:t>Intégrité</w:t>
            </w:r>
          </w:p>
        </w:tc>
        <w:tc>
          <w:tcPr>
            <w:tcW w:w="6803"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4A2475BF" w14:textId="12CEFD71" w:rsidR="0070124B" w:rsidRPr="00C34F9D" w:rsidRDefault="00DB21D0" w:rsidP="003D4BDB">
            <w:pPr>
              <w:spacing w:before="60" w:after="60"/>
              <w:rPr>
                <w:rFonts w:ascii="Arial" w:hAnsi="Arial" w:cs="Arial"/>
                <w:bCs/>
                <w:sz w:val="22"/>
                <w:szCs w:val="22"/>
              </w:rPr>
            </w:pPr>
            <w:r>
              <w:rPr>
                <w:rFonts w:ascii="Arial" w:hAnsi="Arial"/>
                <w:bCs/>
                <w:sz w:val="22"/>
                <w:szCs w:val="22"/>
              </w:rPr>
              <w:t>Agit de manière à donner une image positive de la municipalité ou à avoir un effet positif sur la communauté.</w:t>
            </w:r>
            <w:r w:rsidR="00F571BE">
              <w:rPr>
                <w:rFonts w:ascii="Arial" w:hAnsi="Arial"/>
                <w:bCs/>
                <w:sz w:val="22"/>
                <w:szCs w:val="22"/>
              </w:rPr>
              <w:t xml:space="preserve"> </w:t>
            </w:r>
            <w:r>
              <w:rPr>
                <w:rFonts w:ascii="Arial" w:hAnsi="Arial"/>
                <w:bCs/>
                <w:sz w:val="22"/>
                <w:szCs w:val="22"/>
              </w:rPr>
              <w:t>Agit en tant que modèle en faisant preuve d’un haut degré d’intégrité personnelle, d’équité, d’honnêteté et de conscience éthique et juridique dans ses relations et activités personnelles et professionnelles. Veille à la transparence des processus publics et à ce que la responsabilité soit claire dans le traitement des problèmes.</w:t>
            </w:r>
            <w:r w:rsidR="00F571BE">
              <w:rPr>
                <w:rFonts w:ascii="Arial" w:hAnsi="Arial"/>
                <w:bCs/>
                <w:sz w:val="22"/>
                <w:szCs w:val="22"/>
              </w:rPr>
              <w:t xml:space="preserve"> </w:t>
            </w:r>
            <w:r>
              <w:rPr>
                <w:rFonts w:ascii="Arial" w:hAnsi="Arial"/>
                <w:bCs/>
                <w:sz w:val="22"/>
                <w:szCs w:val="22"/>
              </w:rPr>
              <w:t xml:space="preserve">Fait la promotion d’un comportement éthique et tient chacun et chacune, sans égard pour la hiérarchie et </w:t>
            </w:r>
            <w:r>
              <w:rPr>
                <w:rFonts w:ascii="Arial" w:hAnsi="Arial"/>
                <w:bCs/>
                <w:sz w:val="22"/>
                <w:szCs w:val="22"/>
              </w:rPr>
              <w:lastRenderedPageBreak/>
              <w:t>y compris les contractants extérieurs, responsable du respect des normes éthiques.</w:t>
            </w:r>
          </w:p>
        </w:tc>
      </w:tr>
      <w:tr w:rsidR="00D02D6B" w:rsidRPr="00C34F9D" w14:paraId="65F0DC26" w14:textId="77777777" w:rsidTr="00BE2B9C">
        <w:tc>
          <w:tcPr>
            <w:tcW w:w="2547" w:type="dxa"/>
            <w:tcBorders>
              <w:top w:val="dashSmallGap" w:sz="4" w:space="0" w:color="808080" w:themeColor="background1" w:themeShade="80"/>
              <w:bottom w:val="single" w:sz="12" w:space="0" w:color="000000" w:themeColor="text1"/>
            </w:tcBorders>
          </w:tcPr>
          <w:p w14:paraId="4F2D4585" w14:textId="3B773ADA" w:rsidR="00D02D6B" w:rsidRPr="00C34F9D" w:rsidRDefault="00D02D6B" w:rsidP="003D4BDB">
            <w:pPr>
              <w:spacing w:before="60" w:after="60"/>
              <w:jc w:val="center"/>
              <w:rPr>
                <w:rFonts w:ascii="Arial" w:hAnsi="Arial" w:cs="Arial"/>
                <w:bCs/>
                <w:sz w:val="22"/>
                <w:szCs w:val="22"/>
              </w:rPr>
            </w:pPr>
            <w:r>
              <w:rPr>
                <w:rFonts w:ascii="Arial" w:hAnsi="Arial"/>
                <w:bCs/>
                <w:sz w:val="22"/>
                <w:szCs w:val="22"/>
              </w:rPr>
              <w:lastRenderedPageBreak/>
              <w:t>Développement personnel</w:t>
            </w:r>
          </w:p>
        </w:tc>
        <w:tc>
          <w:tcPr>
            <w:tcW w:w="6803" w:type="dxa"/>
            <w:tcBorders>
              <w:top w:val="dashSmallGap" w:sz="4" w:space="0" w:color="808080" w:themeColor="background1" w:themeShade="80"/>
              <w:bottom w:val="single" w:sz="12" w:space="0" w:color="000000" w:themeColor="text1"/>
            </w:tcBorders>
            <w:shd w:val="clear" w:color="auto" w:fill="F2F2F2" w:themeFill="background1" w:themeFillShade="F2"/>
          </w:tcPr>
          <w:p w14:paraId="16D0DE67" w14:textId="27164079" w:rsidR="00533871" w:rsidRPr="00C34F9D" w:rsidRDefault="00D02D6B" w:rsidP="003D4BDB">
            <w:pPr>
              <w:spacing w:before="60" w:after="60"/>
              <w:rPr>
                <w:rFonts w:ascii="Arial" w:hAnsi="Arial" w:cs="Arial"/>
                <w:bCs/>
                <w:sz w:val="22"/>
                <w:szCs w:val="22"/>
              </w:rPr>
            </w:pPr>
            <w:r>
              <w:rPr>
                <w:rFonts w:ascii="Arial" w:hAnsi="Arial"/>
                <w:bCs/>
                <w:sz w:val="22"/>
                <w:szCs w:val="22"/>
              </w:rPr>
              <w:t>Démontre qu’il s’engage à équilibrer sa vie et à améliorer son bien-être en participant à des activités de formation et de développement personnel ou professionnel, tant à l’intérieur qu’à l’extérieur de l’entreprise.</w:t>
            </w:r>
          </w:p>
        </w:tc>
      </w:tr>
    </w:tbl>
    <w:p w14:paraId="37A7561E" w14:textId="77777777" w:rsidR="00C34F9D" w:rsidRDefault="00C34F9D" w:rsidP="003A73E1">
      <w:pPr>
        <w:spacing w:after="0" w:line="240" w:lineRule="auto"/>
        <w:jc w:val="both"/>
        <w:rPr>
          <w:rFonts w:ascii="Arial" w:hAnsi="Arial" w:cs="Arial"/>
          <w:b/>
          <w:u w:val="single"/>
        </w:rPr>
      </w:pPr>
    </w:p>
    <w:bookmarkEnd w:id="0"/>
    <w:p w14:paraId="150D03E8" w14:textId="77777777" w:rsidR="003D4BDB" w:rsidRDefault="003D4BDB">
      <w:pPr>
        <w:rPr>
          <w:rFonts w:ascii="Arial" w:hAnsi="Arial" w:cs="Arial"/>
          <w:b/>
          <w:color w:val="9C5224"/>
          <w:sz w:val="28"/>
          <w:szCs w:val="28"/>
        </w:rPr>
      </w:pPr>
      <w:r>
        <w:br w:type="page"/>
      </w:r>
    </w:p>
    <w:p w14:paraId="702D217A" w14:textId="502776FF" w:rsidR="006D1D68" w:rsidRPr="00BB2EA5" w:rsidRDefault="00D02D6B" w:rsidP="00BB2EA5">
      <w:pPr>
        <w:pStyle w:val="ListParagraph"/>
        <w:spacing w:after="200" w:line="240" w:lineRule="auto"/>
        <w:ind w:left="0"/>
        <w:jc w:val="both"/>
        <w:rPr>
          <w:rFonts w:ascii="Arial" w:hAnsi="Arial" w:cs="Arial"/>
          <w:b/>
          <w:color w:val="9C5224"/>
          <w:sz w:val="28"/>
          <w:szCs w:val="28"/>
        </w:rPr>
      </w:pPr>
      <w:r>
        <w:rPr>
          <w:rFonts w:ascii="Arial" w:hAnsi="Arial"/>
          <w:b/>
          <w:color w:val="9C5224"/>
          <w:sz w:val="28"/>
          <w:szCs w:val="28"/>
        </w:rPr>
        <w:lastRenderedPageBreak/>
        <w:t>OBJECTIFS ANNUELS SPÉCIFIQUES DU CONSEIL ET DU DG</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74C03" w:rsidRPr="006D1D68" w14:paraId="63D6F824" w14:textId="77777777" w:rsidTr="00BE2B9C">
        <w:tc>
          <w:tcPr>
            <w:tcW w:w="3116" w:type="dxa"/>
            <w:tcBorders>
              <w:top w:val="nil"/>
              <w:bottom w:val="nil"/>
            </w:tcBorders>
            <w:shd w:val="clear" w:color="auto" w:fill="9C5224"/>
          </w:tcPr>
          <w:p w14:paraId="0E6A3E8F" w14:textId="7ABD17DD" w:rsidR="006D1D68" w:rsidRPr="006D1D68" w:rsidRDefault="009111C4" w:rsidP="003D4BDB">
            <w:pPr>
              <w:tabs>
                <w:tab w:val="left" w:pos="310"/>
                <w:tab w:val="center" w:pos="1450"/>
              </w:tabs>
              <w:spacing w:before="60" w:after="60"/>
              <w:jc w:val="left"/>
              <w:rPr>
                <w:rFonts w:ascii="Arial" w:hAnsi="Arial" w:cs="Arial"/>
                <w:b/>
                <w:bCs/>
                <w:color w:val="FFFFFF" w:themeColor="background1"/>
                <w:sz w:val="24"/>
                <w:szCs w:val="24"/>
              </w:rPr>
            </w:pPr>
            <w:r>
              <w:rPr>
                <w:rFonts w:ascii="Arial" w:hAnsi="Arial"/>
                <w:b/>
                <w:bCs/>
                <w:color w:val="FFFFFF" w:themeColor="background1"/>
                <w:sz w:val="24"/>
                <w:szCs w:val="24"/>
              </w:rPr>
              <w:tab/>
            </w:r>
            <w:r>
              <w:rPr>
                <w:rFonts w:ascii="Arial" w:hAnsi="Arial"/>
                <w:b/>
                <w:bCs/>
                <w:color w:val="FFFFFF" w:themeColor="background1"/>
                <w:sz w:val="24"/>
                <w:szCs w:val="24"/>
              </w:rPr>
              <w:tab/>
            </w:r>
            <w:r w:rsidR="005119FA">
              <w:rPr>
                <w:rFonts w:ascii="Arial" w:hAnsi="Arial"/>
                <w:b/>
                <w:bCs/>
                <w:color w:val="FFFFFF" w:themeColor="background1"/>
                <w:sz w:val="24"/>
                <w:szCs w:val="24"/>
              </w:rPr>
              <w:t>Objectif</w:t>
            </w:r>
          </w:p>
        </w:tc>
        <w:tc>
          <w:tcPr>
            <w:tcW w:w="3117" w:type="dxa"/>
            <w:tcBorders>
              <w:top w:val="nil"/>
              <w:bottom w:val="nil"/>
            </w:tcBorders>
            <w:shd w:val="clear" w:color="auto" w:fill="9C5224"/>
          </w:tcPr>
          <w:p w14:paraId="1CEEA388" w14:textId="7F03F428" w:rsidR="006D1D68" w:rsidRPr="006D1D68" w:rsidRDefault="006D1D68" w:rsidP="003D4BDB">
            <w:pPr>
              <w:spacing w:before="60" w:after="60"/>
              <w:jc w:val="center"/>
              <w:rPr>
                <w:rFonts w:ascii="Arial" w:hAnsi="Arial" w:cs="Arial"/>
                <w:b/>
                <w:bCs/>
                <w:color w:val="FFFFFF" w:themeColor="background1"/>
                <w:sz w:val="24"/>
                <w:szCs w:val="24"/>
              </w:rPr>
            </w:pPr>
            <w:r>
              <w:rPr>
                <w:rFonts w:ascii="Arial" w:hAnsi="Arial"/>
                <w:b/>
                <w:bCs/>
                <w:color w:val="FFFFFF" w:themeColor="background1"/>
                <w:sz w:val="24"/>
                <w:szCs w:val="24"/>
              </w:rPr>
              <w:t>RÉSULTATS/MESURES</w:t>
            </w:r>
          </w:p>
        </w:tc>
        <w:tc>
          <w:tcPr>
            <w:tcW w:w="3117" w:type="dxa"/>
            <w:tcBorders>
              <w:top w:val="nil"/>
              <w:bottom w:val="nil"/>
            </w:tcBorders>
            <w:shd w:val="clear" w:color="auto" w:fill="9C5224"/>
          </w:tcPr>
          <w:p w14:paraId="0A045900" w14:textId="737B80A6" w:rsidR="006D1D68" w:rsidRPr="006D1D68" w:rsidRDefault="006D1D68" w:rsidP="003D4BDB">
            <w:pPr>
              <w:spacing w:before="60" w:after="60"/>
              <w:jc w:val="center"/>
              <w:rPr>
                <w:rFonts w:ascii="Arial" w:hAnsi="Arial" w:cs="Arial"/>
                <w:b/>
                <w:bCs/>
                <w:color w:val="FFFFFF" w:themeColor="background1"/>
                <w:sz w:val="24"/>
                <w:szCs w:val="24"/>
              </w:rPr>
            </w:pPr>
            <w:r>
              <w:rPr>
                <w:rFonts w:ascii="Arial" w:hAnsi="Arial"/>
                <w:b/>
                <w:bCs/>
                <w:color w:val="FFFFFF" w:themeColor="background1"/>
                <w:sz w:val="24"/>
                <w:szCs w:val="24"/>
              </w:rPr>
              <w:t>Date cible d’achèvement</w:t>
            </w:r>
          </w:p>
        </w:tc>
      </w:tr>
      <w:tr w:rsidR="009111C4" w:rsidRPr="006D1D68" w14:paraId="3E93E9DC" w14:textId="77777777" w:rsidTr="00BE2B9C">
        <w:tc>
          <w:tcPr>
            <w:tcW w:w="3116" w:type="dxa"/>
            <w:tcBorders>
              <w:top w:val="nil"/>
              <w:bottom w:val="dashSmallGap" w:sz="4" w:space="0" w:color="808080" w:themeColor="background1" w:themeShade="80"/>
            </w:tcBorders>
          </w:tcPr>
          <w:p w14:paraId="48FA5E2F" w14:textId="54F1E742" w:rsidR="006D1D68" w:rsidRPr="006D1D68" w:rsidRDefault="00355A18" w:rsidP="003D4BDB">
            <w:pPr>
              <w:spacing w:before="60" w:after="60"/>
              <w:rPr>
                <w:rFonts w:ascii="Arial" w:hAnsi="Arial" w:cs="Arial"/>
                <w:sz w:val="24"/>
                <w:szCs w:val="24"/>
              </w:rPr>
            </w:pPr>
            <w:r>
              <w:rPr>
                <w:rFonts w:ascii="Arial" w:hAnsi="Arial"/>
                <w:sz w:val="24"/>
                <w:szCs w:val="24"/>
              </w:rPr>
              <w:t>Objectif n</w:t>
            </w:r>
            <w:r w:rsidRPr="00663B3E">
              <w:rPr>
                <w:rFonts w:ascii="Arial" w:hAnsi="Arial"/>
                <w:sz w:val="24"/>
                <w:szCs w:val="24"/>
                <w:vertAlign w:val="superscript"/>
              </w:rPr>
              <w:t>o</w:t>
            </w:r>
            <w:r>
              <w:rPr>
                <w:rFonts w:ascii="Arial" w:hAnsi="Arial"/>
                <w:sz w:val="24"/>
                <w:szCs w:val="24"/>
              </w:rPr>
              <w:t xml:space="preserve"> 1 :</w:t>
            </w:r>
          </w:p>
        </w:tc>
        <w:tc>
          <w:tcPr>
            <w:tcW w:w="3117" w:type="dxa"/>
            <w:tcBorders>
              <w:top w:val="nil"/>
              <w:bottom w:val="dashSmallGap" w:sz="4" w:space="0" w:color="808080" w:themeColor="background1" w:themeShade="80"/>
            </w:tcBorders>
            <w:shd w:val="clear" w:color="auto" w:fill="F2F2F2" w:themeFill="background1" w:themeFillShade="F2"/>
          </w:tcPr>
          <w:p w14:paraId="47FC1A80" w14:textId="77777777" w:rsidR="006D1D68" w:rsidRPr="006D1D68" w:rsidRDefault="006D1D68" w:rsidP="003D4BDB">
            <w:pPr>
              <w:spacing w:before="60" w:after="60"/>
            </w:pPr>
          </w:p>
        </w:tc>
        <w:tc>
          <w:tcPr>
            <w:tcW w:w="3117" w:type="dxa"/>
            <w:tcBorders>
              <w:top w:val="nil"/>
              <w:bottom w:val="dashSmallGap" w:sz="4" w:space="0" w:color="808080" w:themeColor="background1" w:themeShade="80"/>
            </w:tcBorders>
            <w:shd w:val="clear" w:color="auto" w:fill="D9D9D9" w:themeFill="background1" w:themeFillShade="D9"/>
          </w:tcPr>
          <w:p w14:paraId="2D9169C8" w14:textId="77777777" w:rsidR="006D1D68" w:rsidRPr="006D1D68" w:rsidRDefault="006D1D68" w:rsidP="003D4BDB">
            <w:pPr>
              <w:spacing w:before="60" w:after="60"/>
            </w:pPr>
          </w:p>
        </w:tc>
      </w:tr>
      <w:tr w:rsidR="009111C4" w:rsidRPr="006D1D68" w14:paraId="20BC5960" w14:textId="77777777" w:rsidTr="00BE2B9C">
        <w:tc>
          <w:tcPr>
            <w:tcW w:w="3116" w:type="dxa"/>
            <w:tcBorders>
              <w:top w:val="dashSmallGap" w:sz="4" w:space="0" w:color="808080" w:themeColor="background1" w:themeShade="80"/>
              <w:bottom w:val="dashSmallGap" w:sz="4" w:space="0" w:color="808080" w:themeColor="background1" w:themeShade="80"/>
            </w:tcBorders>
          </w:tcPr>
          <w:p w14:paraId="4B7F6C58" w14:textId="3783293F" w:rsidR="00355A18" w:rsidRPr="006D1D68" w:rsidRDefault="00355A18" w:rsidP="003D4BDB">
            <w:pPr>
              <w:spacing w:before="60" w:after="60"/>
              <w:rPr>
                <w:rFonts w:ascii="Arial" w:hAnsi="Arial" w:cs="Arial"/>
                <w:sz w:val="24"/>
                <w:szCs w:val="24"/>
              </w:rPr>
            </w:pPr>
            <w:r>
              <w:rPr>
                <w:rFonts w:ascii="Arial" w:hAnsi="Arial"/>
                <w:sz w:val="24"/>
                <w:szCs w:val="24"/>
              </w:rPr>
              <w:t>Objectif n</w:t>
            </w:r>
            <w:r w:rsidRPr="00663B3E">
              <w:rPr>
                <w:rFonts w:ascii="Arial" w:hAnsi="Arial"/>
                <w:sz w:val="24"/>
                <w:szCs w:val="24"/>
                <w:vertAlign w:val="superscript"/>
              </w:rPr>
              <w:t>o</w:t>
            </w:r>
            <w:r>
              <w:rPr>
                <w:rFonts w:ascii="Arial" w:hAnsi="Arial"/>
                <w:sz w:val="24"/>
                <w:szCs w:val="24"/>
              </w:rPr>
              <w:t xml:space="preserve"> 2 :</w:t>
            </w:r>
          </w:p>
        </w:tc>
        <w:tc>
          <w:tcPr>
            <w:tcW w:w="3117"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726C5A7C" w14:textId="77777777" w:rsidR="006D1D68" w:rsidRPr="006D1D68" w:rsidRDefault="006D1D68" w:rsidP="003D4BDB">
            <w:pPr>
              <w:spacing w:before="60" w:after="60"/>
            </w:pPr>
          </w:p>
        </w:tc>
        <w:tc>
          <w:tcPr>
            <w:tcW w:w="3117" w:type="dxa"/>
            <w:tcBorders>
              <w:top w:val="dashSmallGap" w:sz="4" w:space="0" w:color="808080" w:themeColor="background1" w:themeShade="80"/>
              <w:bottom w:val="dashSmallGap" w:sz="4" w:space="0" w:color="808080" w:themeColor="background1" w:themeShade="80"/>
            </w:tcBorders>
            <w:shd w:val="clear" w:color="auto" w:fill="D9D9D9" w:themeFill="background1" w:themeFillShade="D9"/>
          </w:tcPr>
          <w:p w14:paraId="41D8442D" w14:textId="77777777" w:rsidR="006D1D68" w:rsidRPr="006D1D68" w:rsidRDefault="006D1D68" w:rsidP="003D4BDB">
            <w:pPr>
              <w:spacing w:before="60" w:after="60"/>
            </w:pPr>
          </w:p>
        </w:tc>
      </w:tr>
      <w:tr w:rsidR="009111C4" w:rsidRPr="006D1D68" w14:paraId="494CC2B3" w14:textId="77777777" w:rsidTr="00BE2B9C">
        <w:tc>
          <w:tcPr>
            <w:tcW w:w="3116" w:type="dxa"/>
            <w:tcBorders>
              <w:top w:val="dashSmallGap" w:sz="4" w:space="0" w:color="808080" w:themeColor="background1" w:themeShade="80"/>
              <w:bottom w:val="dashSmallGap" w:sz="4" w:space="0" w:color="808080" w:themeColor="background1" w:themeShade="80"/>
            </w:tcBorders>
          </w:tcPr>
          <w:p w14:paraId="74BD8858" w14:textId="192168BC" w:rsidR="006D1D68" w:rsidRPr="006D1D68" w:rsidRDefault="00355A18" w:rsidP="003D4BDB">
            <w:pPr>
              <w:spacing w:before="60" w:after="60"/>
              <w:rPr>
                <w:rFonts w:ascii="Arial" w:hAnsi="Arial" w:cs="Arial"/>
                <w:sz w:val="24"/>
                <w:szCs w:val="24"/>
              </w:rPr>
            </w:pPr>
            <w:r>
              <w:rPr>
                <w:rFonts w:ascii="Arial" w:hAnsi="Arial"/>
                <w:sz w:val="24"/>
                <w:szCs w:val="24"/>
              </w:rPr>
              <w:t>Objectif n</w:t>
            </w:r>
            <w:r w:rsidRPr="00663B3E">
              <w:rPr>
                <w:rFonts w:ascii="Arial" w:hAnsi="Arial"/>
                <w:sz w:val="24"/>
                <w:szCs w:val="24"/>
                <w:vertAlign w:val="superscript"/>
              </w:rPr>
              <w:t>o</w:t>
            </w:r>
            <w:r>
              <w:rPr>
                <w:rFonts w:ascii="Arial" w:hAnsi="Arial"/>
                <w:sz w:val="24"/>
                <w:szCs w:val="24"/>
              </w:rPr>
              <w:t xml:space="preserve"> 3 :</w:t>
            </w:r>
          </w:p>
        </w:tc>
        <w:tc>
          <w:tcPr>
            <w:tcW w:w="3117"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26249B52" w14:textId="77777777" w:rsidR="006D1D68" w:rsidRPr="006D1D68" w:rsidRDefault="006D1D68" w:rsidP="003D4BDB">
            <w:pPr>
              <w:spacing w:before="60" w:after="60"/>
            </w:pPr>
          </w:p>
        </w:tc>
        <w:tc>
          <w:tcPr>
            <w:tcW w:w="3117" w:type="dxa"/>
            <w:tcBorders>
              <w:top w:val="dashSmallGap" w:sz="4" w:space="0" w:color="808080" w:themeColor="background1" w:themeShade="80"/>
              <w:bottom w:val="dashSmallGap" w:sz="4" w:space="0" w:color="808080" w:themeColor="background1" w:themeShade="80"/>
            </w:tcBorders>
            <w:shd w:val="clear" w:color="auto" w:fill="D9D9D9" w:themeFill="background1" w:themeFillShade="D9"/>
          </w:tcPr>
          <w:p w14:paraId="65675C4C" w14:textId="77777777" w:rsidR="006D1D68" w:rsidRPr="006D1D68" w:rsidRDefault="006D1D68" w:rsidP="003D4BDB">
            <w:pPr>
              <w:spacing w:before="60" w:after="60"/>
            </w:pPr>
          </w:p>
        </w:tc>
      </w:tr>
      <w:tr w:rsidR="009111C4" w:rsidRPr="006D1D68" w14:paraId="388C9C47" w14:textId="77777777" w:rsidTr="00BE2B9C">
        <w:tc>
          <w:tcPr>
            <w:tcW w:w="3116" w:type="dxa"/>
            <w:tcBorders>
              <w:top w:val="dashSmallGap" w:sz="4" w:space="0" w:color="808080" w:themeColor="background1" w:themeShade="80"/>
              <w:bottom w:val="dashSmallGap" w:sz="4" w:space="0" w:color="808080" w:themeColor="background1" w:themeShade="80"/>
            </w:tcBorders>
          </w:tcPr>
          <w:p w14:paraId="60B45C4B" w14:textId="1901ABE4" w:rsidR="00AD4EFA" w:rsidRPr="00355A18" w:rsidRDefault="00355A18" w:rsidP="003D4BDB">
            <w:pPr>
              <w:spacing w:before="60" w:after="60"/>
              <w:rPr>
                <w:rFonts w:ascii="Arial" w:hAnsi="Arial" w:cs="Arial"/>
                <w:sz w:val="24"/>
                <w:szCs w:val="24"/>
              </w:rPr>
            </w:pPr>
            <w:r>
              <w:rPr>
                <w:rFonts w:ascii="Arial" w:hAnsi="Arial"/>
                <w:sz w:val="24"/>
                <w:szCs w:val="24"/>
              </w:rPr>
              <w:t>Objectif n</w:t>
            </w:r>
            <w:r w:rsidRPr="00663B3E">
              <w:rPr>
                <w:rFonts w:ascii="Arial" w:hAnsi="Arial"/>
                <w:sz w:val="24"/>
                <w:szCs w:val="24"/>
                <w:vertAlign w:val="superscript"/>
              </w:rPr>
              <w:t>o</w:t>
            </w:r>
            <w:r>
              <w:rPr>
                <w:rFonts w:ascii="Arial" w:hAnsi="Arial"/>
                <w:sz w:val="24"/>
                <w:szCs w:val="24"/>
              </w:rPr>
              <w:t xml:space="preserve"> 4 :</w:t>
            </w:r>
          </w:p>
        </w:tc>
        <w:tc>
          <w:tcPr>
            <w:tcW w:w="3117"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0245A495" w14:textId="77777777" w:rsidR="00AD4EFA" w:rsidRPr="006D1D68" w:rsidRDefault="00AD4EFA" w:rsidP="003D4BDB">
            <w:pPr>
              <w:spacing w:before="60" w:after="60"/>
            </w:pPr>
          </w:p>
        </w:tc>
        <w:tc>
          <w:tcPr>
            <w:tcW w:w="3117" w:type="dxa"/>
            <w:tcBorders>
              <w:top w:val="dashSmallGap" w:sz="4" w:space="0" w:color="808080" w:themeColor="background1" w:themeShade="80"/>
              <w:bottom w:val="dashSmallGap" w:sz="4" w:space="0" w:color="808080" w:themeColor="background1" w:themeShade="80"/>
            </w:tcBorders>
            <w:shd w:val="clear" w:color="auto" w:fill="D9D9D9" w:themeFill="background1" w:themeFillShade="D9"/>
          </w:tcPr>
          <w:p w14:paraId="44C79ADB" w14:textId="77777777" w:rsidR="00AD4EFA" w:rsidRPr="006D1D68" w:rsidRDefault="00AD4EFA" w:rsidP="003D4BDB">
            <w:pPr>
              <w:spacing w:before="60" w:after="60"/>
            </w:pPr>
          </w:p>
        </w:tc>
      </w:tr>
      <w:tr w:rsidR="009111C4" w:rsidRPr="006D1D68" w14:paraId="39B36DF0" w14:textId="77777777" w:rsidTr="00BE2B9C">
        <w:tc>
          <w:tcPr>
            <w:tcW w:w="3116" w:type="dxa"/>
            <w:tcBorders>
              <w:top w:val="dashSmallGap" w:sz="4" w:space="0" w:color="808080" w:themeColor="background1" w:themeShade="80"/>
              <w:bottom w:val="dashSmallGap" w:sz="4" w:space="0" w:color="808080" w:themeColor="background1" w:themeShade="80"/>
            </w:tcBorders>
          </w:tcPr>
          <w:p w14:paraId="20D626DE" w14:textId="3F449946" w:rsidR="006D1D68" w:rsidRPr="006D1D68" w:rsidRDefault="00355A18" w:rsidP="003D4BDB">
            <w:pPr>
              <w:spacing w:before="60" w:after="60"/>
              <w:rPr>
                <w:rFonts w:ascii="Arial" w:hAnsi="Arial" w:cs="Arial"/>
                <w:sz w:val="24"/>
                <w:szCs w:val="24"/>
              </w:rPr>
            </w:pPr>
            <w:r>
              <w:rPr>
                <w:rFonts w:ascii="Arial" w:hAnsi="Arial"/>
                <w:sz w:val="24"/>
                <w:szCs w:val="24"/>
              </w:rPr>
              <w:t>Objectif n</w:t>
            </w:r>
            <w:r w:rsidRPr="00663B3E">
              <w:rPr>
                <w:rFonts w:ascii="Arial" w:hAnsi="Arial"/>
                <w:sz w:val="24"/>
                <w:szCs w:val="24"/>
                <w:vertAlign w:val="superscript"/>
              </w:rPr>
              <w:t>o</w:t>
            </w:r>
            <w:r>
              <w:rPr>
                <w:rFonts w:ascii="Arial" w:hAnsi="Arial"/>
                <w:sz w:val="24"/>
                <w:szCs w:val="24"/>
              </w:rPr>
              <w:t xml:space="preserve"> 5 :</w:t>
            </w:r>
          </w:p>
        </w:tc>
        <w:tc>
          <w:tcPr>
            <w:tcW w:w="3117" w:type="dxa"/>
            <w:tcBorders>
              <w:top w:val="dashSmallGap" w:sz="4" w:space="0" w:color="808080" w:themeColor="background1" w:themeShade="80"/>
              <w:bottom w:val="dashSmallGap" w:sz="4" w:space="0" w:color="808080" w:themeColor="background1" w:themeShade="80"/>
            </w:tcBorders>
            <w:shd w:val="clear" w:color="auto" w:fill="F2F2F2" w:themeFill="background1" w:themeFillShade="F2"/>
          </w:tcPr>
          <w:p w14:paraId="529DE452" w14:textId="77777777" w:rsidR="006D1D68" w:rsidRPr="006D1D68" w:rsidRDefault="006D1D68" w:rsidP="003D4BDB">
            <w:pPr>
              <w:spacing w:before="60" w:after="60"/>
            </w:pPr>
          </w:p>
        </w:tc>
        <w:tc>
          <w:tcPr>
            <w:tcW w:w="3117" w:type="dxa"/>
            <w:tcBorders>
              <w:top w:val="dashSmallGap" w:sz="4" w:space="0" w:color="808080" w:themeColor="background1" w:themeShade="80"/>
              <w:bottom w:val="dashSmallGap" w:sz="4" w:space="0" w:color="808080" w:themeColor="background1" w:themeShade="80"/>
            </w:tcBorders>
            <w:shd w:val="clear" w:color="auto" w:fill="D9D9D9" w:themeFill="background1" w:themeFillShade="D9"/>
          </w:tcPr>
          <w:p w14:paraId="0E4CF72F" w14:textId="77777777" w:rsidR="006D1D68" w:rsidRPr="006D1D68" w:rsidRDefault="006D1D68" w:rsidP="003D4BDB">
            <w:pPr>
              <w:spacing w:before="60" w:after="60"/>
            </w:pPr>
          </w:p>
        </w:tc>
      </w:tr>
      <w:tr w:rsidR="009111C4" w:rsidRPr="006D1D68" w14:paraId="1E7FDF9F" w14:textId="77777777" w:rsidTr="00BE2B9C">
        <w:tc>
          <w:tcPr>
            <w:tcW w:w="3116" w:type="dxa"/>
            <w:tcBorders>
              <w:top w:val="dashSmallGap" w:sz="4" w:space="0" w:color="808080" w:themeColor="background1" w:themeShade="80"/>
              <w:bottom w:val="single" w:sz="12" w:space="0" w:color="000000" w:themeColor="text1"/>
            </w:tcBorders>
          </w:tcPr>
          <w:p w14:paraId="338D5BF1" w14:textId="3169107C" w:rsidR="006D1D68" w:rsidRPr="006D1D68" w:rsidRDefault="00355A18" w:rsidP="003D4BDB">
            <w:pPr>
              <w:spacing w:before="60" w:after="60"/>
              <w:rPr>
                <w:rFonts w:ascii="Arial" w:hAnsi="Arial" w:cs="Arial"/>
                <w:sz w:val="24"/>
                <w:szCs w:val="24"/>
              </w:rPr>
            </w:pPr>
            <w:r>
              <w:rPr>
                <w:rFonts w:ascii="Arial" w:hAnsi="Arial"/>
                <w:sz w:val="24"/>
                <w:szCs w:val="24"/>
              </w:rPr>
              <w:t>Objectif n</w:t>
            </w:r>
            <w:r w:rsidRPr="00663B3E">
              <w:rPr>
                <w:rFonts w:ascii="Arial" w:hAnsi="Arial"/>
                <w:sz w:val="24"/>
                <w:szCs w:val="24"/>
                <w:vertAlign w:val="superscript"/>
              </w:rPr>
              <w:t>o</w:t>
            </w:r>
            <w:r>
              <w:rPr>
                <w:rFonts w:ascii="Arial" w:hAnsi="Arial"/>
                <w:sz w:val="24"/>
                <w:szCs w:val="24"/>
              </w:rPr>
              <w:t xml:space="preserve"> 6 :</w:t>
            </w:r>
          </w:p>
        </w:tc>
        <w:tc>
          <w:tcPr>
            <w:tcW w:w="3117" w:type="dxa"/>
            <w:tcBorders>
              <w:top w:val="dashSmallGap" w:sz="4" w:space="0" w:color="808080" w:themeColor="background1" w:themeShade="80"/>
              <w:bottom w:val="single" w:sz="12" w:space="0" w:color="000000" w:themeColor="text1"/>
            </w:tcBorders>
            <w:shd w:val="clear" w:color="auto" w:fill="F2F2F2" w:themeFill="background1" w:themeFillShade="F2"/>
          </w:tcPr>
          <w:p w14:paraId="510CF887" w14:textId="77777777" w:rsidR="006D1D68" w:rsidRPr="006D1D68" w:rsidRDefault="006D1D68" w:rsidP="003D4BDB">
            <w:pPr>
              <w:spacing w:before="60" w:after="60"/>
            </w:pPr>
          </w:p>
        </w:tc>
        <w:tc>
          <w:tcPr>
            <w:tcW w:w="3117" w:type="dxa"/>
            <w:tcBorders>
              <w:top w:val="dashSmallGap" w:sz="4" w:space="0" w:color="808080" w:themeColor="background1" w:themeShade="80"/>
              <w:bottom w:val="single" w:sz="12" w:space="0" w:color="000000" w:themeColor="text1"/>
            </w:tcBorders>
            <w:shd w:val="clear" w:color="auto" w:fill="D9D9D9" w:themeFill="background1" w:themeFillShade="D9"/>
          </w:tcPr>
          <w:p w14:paraId="79A733EC" w14:textId="77777777" w:rsidR="006D1D68" w:rsidRPr="006D1D68" w:rsidRDefault="006D1D68" w:rsidP="003D4BDB">
            <w:pPr>
              <w:spacing w:before="60" w:after="60"/>
            </w:pPr>
          </w:p>
        </w:tc>
      </w:tr>
    </w:tbl>
    <w:p w14:paraId="50444719" w14:textId="7B73175C" w:rsidR="00D02D6B" w:rsidRPr="003D4BDB" w:rsidRDefault="00D02D6B" w:rsidP="003D4BDB">
      <w:pPr>
        <w:spacing w:after="0" w:line="240" w:lineRule="auto"/>
        <w:jc w:val="both"/>
        <w:rPr>
          <w:rFonts w:ascii="Arial" w:hAnsi="Arial" w:cs="Arial"/>
          <w:b/>
        </w:rPr>
      </w:pPr>
    </w:p>
    <w:sectPr w:rsidR="00D02D6B" w:rsidRPr="003D4BDB" w:rsidSect="00722A63">
      <w:pgSz w:w="12240" w:h="15840"/>
      <w:pgMar w:top="737"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0426B"/>
    <w:multiLevelType w:val="hybridMultilevel"/>
    <w:tmpl w:val="92BEE646"/>
    <w:lvl w:ilvl="0" w:tplc="10090001">
      <w:start w:val="1"/>
      <w:numFmt w:val="bullet"/>
      <w:lvlText w:val=""/>
      <w:lvlJc w:val="left"/>
      <w:pPr>
        <w:ind w:left="2149" w:hanging="360"/>
      </w:pPr>
      <w:rPr>
        <w:rFonts w:ascii="Symbol" w:hAnsi="Symbol" w:hint="default"/>
      </w:rPr>
    </w:lvl>
    <w:lvl w:ilvl="1" w:tplc="10090003">
      <w:start w:val="1"/>
      <w:numFmt w:val="bullet"/>
      <w:lvlText w:val="o"/>
      <w:lvlJc w:val="left"/>
      <w:pPr>
        <w:ind w:left="2869" w:hanging="360"/>
      </w:pPr>
      <w:rPr>
        <w:rFonts w:ascii="Courier New" w:hAnsi="Courier New" w:cs="Courier New" w:hint="default"/>
      </w:rPr>
    </w:lvl>
    <w:lvl w:ilvl="2" w:tplc="10090005">
      <w:start w:val="1"/>
      <w:numFmt w:val="bullet"/>
      <w:lvlText w:val=""/>
      <w:lvlJc w:val="left"/>
      <w:pPr>
        <w:ind w:left="3589" w:hanging="360"/>
      </w:pPr>
      <w:rPr>
        <w:rFonts w:ascii="Wingdings" w:hAnsi="Wingdings" w:hint="default"/>
      </w:rPr>
    </w:lvl>
    <w:lvl w:ilvl="3" w:tplc="10090001">
      <w:start w:val="1"/>
      <w:numFmt w:val="bullet"/>
      <w:lvlText w:val=""/>
      <w:lvlJc w:val="left"/>
      <w:pPr>
        <w:ind w:left="4309" w:hanging="360"/>
      </w:pPr>
      <w:rPr>
        <w:rFonts w:ascii="Symbol" w:hAnsi="Symbol" w:hint="default"/>
      </w:rPr>
    </w:lvl>
    <w:lvl w:ilvl="4" w:tplc="10090003">
      <w:start w:val="1"/>
      <w:numFmt w:val="bullet"/>
      <w:lvlText w:val="o"/>
      <w:lvlJc w:val="left"/>
      <w:pPr>
        <w:ind w:left="5029" w:hanging="360"/>
      </w:pPr>
      <w:rPr>
        <w:rFonts w:ascii="Courier New" w:hAnsi="Courier New" w:cs="Courier New" w:hint="default"/>
      </w:rPr>
    </w:lvl>
    <w:lvl w:ilvl="5" w:tplc="10090005">
      <w:start w:val="1"/>
      <w:numFmt w:val="bullet"/>
      <w:lvlText w:val=""/>
      <w:lvlJc w:val="left"/>
      <w:pPr>
        <w:ind w:left="5749" w:hanging="360"/>
      </w:pPr>
      <w:rPr>
        <w:rFonts w:ascii="Wingdings" w:hAnsi="Wingdings" w:hint="default"/>
      </w:rPr>
    </w:lvl>
    <w:lvl w:ilvl="6" w:tplc="10090001">
      <w:start w:val="1"/>
      <w:numFmt w:val="bullet"/>
      <w:lvlText w:val=""/>
      <w:lvlJc w:val="left"/>
      <w:pPr>
        <w:ind w:left="6469" w:hanging="360"/>
      </w:pPr>
      <w:rPr>
        <w:rFonts w:ascii="Symbol" w:hAnsi="Symbol" w:hint="default"/>
      </w:rPr>
    </w:lvl>
    <w:lvl w:ilvl="7" w:tplc="10090003">
      <w:start w:val="1"/>
      <w:numFmt w:val="bullet"/>
      <w:lvlText w:val="o"/>
      <w:lvlJc w:val="left"/>
      <w:pPr>
        <w:ind w:left="7189" w:hanging="360"/>
      </w:pPr>
      <w:rPr>
        <w:rFonts w:ascii="Courier New" w:hAnsi="Courier New" w:cs="Courier New" w:hint="default"/>
      </w:rPr>
    </w:lvl>
    <w:lvl w:ilvl="8" w:tplc="10090005">
      <w:start w:val="1"/>
      <w:numFmt w:val="bullet"/>
      <w:lvlText w:val=""/>
      <w:lvlJc w:val="left"/>
      <w:pPr>
        <w:ind w:left="7909" w:hanging="360"/>
      </w:pPr>
      <w:rPr>
        <w:rFonts w:ascii="Wingdings" w:hAnsi="Wingdings" w:hint="default"/>
      </w:rPr>
    </w:lvl>
  </w:abstractNum>
  <w:abstractNum w:abstractNumId="1" w15:restartNumberingAfterBreak="0">
    <w:nsid w:val="5297352C"/>
    <w:multiLevelType w:val="hybridMultilevel"/>
    <w:tmpl w:val="0BEEEB20"/>
    <w:lvl w:ilvl="0" w:tplc="B39A99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C45C69"/>
    <w:multiLevelType w:val="hybridMultilevel"/>
    <w:tmpl w:val="09204E86"/>
    <w:lvl w:ilvl="0" w:tplc="10090001">
      <w:start w:val="1"/>
      <w:numFmt w:val="bullet"/>
      <w:lvlText w:val=""/>
      <w:lvlJc w:val="left"/>
      <w:pPr>
        <w:ind w:left="950" w:hanging="360"/>
      </w:pPr>
      <w:rPr>
        <w:rFonts w:ascii="Symbol" w:hAnsi="Symbol" w:hint="default"/>
      </w:rPr>
    </w:lvl>
    <w:lvl w:ilvl="1" w:tplc="10090003" w:tentative="1">
      <w:start w:val="1"/>
      <w:numFmt w:val="bullet"/>
      <w:lvlText w:val="o"/>
      <w:lvlJc w:val="left"/>
      <w:pPr>
        <w:ind w:left="1670" w:hanging="360"/>
      </w:pPr>
      <w:rPr>
        <w:rFonts w:ascii="Courier New" w:hAnsi="Courier New" w:cs="Courier New" w:hint="default"/>
      </w:rPr>
    </w:lvl>
    <w:lvl w:ilvl="2" w:tplc="10090005" w:tentative="1">
      <w:start w:val="1"/>
      <w:numFmt w:val="bullet"/>
      <w:lvlText w:val=""/>
      <w:lvlJc w:val="left"/>
      <w:pPr>
        <w:ind w:left="2390" w:hanging="360"/>
      </w:pPr>
      <w:rPr>
        <w:rFonts w:ascii="Wingdings" w:hAnsi="Wingdings" w:hint="default"/>
      </w:rPr>
    </w:lvl>
    <w:lvl w:ilvl="3" w:tplc="10090001" w:tentative="1">
      <w:start w:val="1"/>
      <w:numFmt w:val="bullet"/>
      <w:lvlText w:val=""/>
      <w:lvlJc w:val="left"/>
      <w:pPr>
        <w:ind w:left="3110" w:hanging="360"/>
      </w:pPr>
      <w:rPr>
        <w:rFonts w:ascii="Symbol" w:hAnsi="Symbol" w:hint="default"/>
      </w:rPr>
    </w:lvl>
    <w:lvl w:ilvl="4" w:tplc="10090003" w:tentative="1">
      <w:start w:val="1"/>
      <w:numFmt w:val="bullet"/>
      <w:lvlText w:val="o"/>
      <w:lvlJc w:val="left"/>
      <w:pPr>
        <w:ind w:left="3830" w:hanging="360"/>
      </w:pPr>
      <w:rPr>
        <w:rFonts w:ascii="Courier New" w:hAnsi="Courier New" w:cs="Courier New" w:hint="default"/>
      </w:rPr>
    </w:lvl>
    <w:lvl w:ilvl="5" w:tplc="10090005" w:tentative="1">
      <w:start w:val="1"/>
      <w:numFmt w:val="bullet"/>
      <w:lvlText w:val=""/>
      <w:lvlJc w:val="left"/>
      <w:pPr>
        <w:ind w:left="4550" w:hanging="360"/>
      </w:pPr>
      <w:rPr>
        <w:rFonts w:ascii="Wingdings" w:hAnsi="Wingdings" w:hint="default"/>
      </w:rPr>
    </w:lvl>
    <w:lvl w:ilvl="6" w:tplc="10090001" w:tentative="1">
      <w:start w:val="1"/>
      <w:numFmt w:val="bullet"/>
      <w:lvlText w:val=""/>
      <w:lvlJc w:val="left"/>
      <w:pPr>
        <w:ind w:left="5270" w:hanging="360"/>
      </w:pPr>
      <w:rPr>
        <w:rFonts w:ascii="Symbol" w:hAnsi="Symbol" w:hint="default"/>
      </w:rPr>
    </w:lvl>
    <w:lvl w:ilvl="7" w:tplc="10090003" w:tentative="1">
      <w:start w:val="1"/>
      <w:numFmt w:val="bullet"/>
      <w:lvlText w:val="o"/>
      <w:lvlJc w:val="left"/>
      <w:pPr>
        <w:ind w:left="5990" w:hanging="360"/>
      </w:pPr>
      <w:rPr>
        <w:rFonts w:ascii="Courier New" w:hAnsi="Courier New" w:cs="Courier New" w:hint="default"/>
      </w:rPr>
    </w:lvl>
    <w:lvl w:ilvl="8" w:tplc="10090005" w:tentative="1">
      <w:start w:val="1"/>
      <w:numFmt w:val="bullet"/>
      <w:lvlText w:val=""/>
      <w:lvlJc w:val="left"/>
      <w:pPr>
        <w:ind w:left="6710" w:hanging="360"/>
      </w:pPr>
      <w:rPr>
        <w:rFonts w:ascii="Wingdings" w:hAnsi="Wingdings" w:hint="default"/>
      </w:rPr>
    </w:lvl>
  </w:abstractNum>
  <w:abstractNum w:abstractNumId="3" w15:restartNumberingAfterBreak="0">
    <w:nsid w:val="7664235F"/>
    <w:multiLevelType w:val="hybridMultilevel"/>
    <w:tmpl w:val="C554AE6E"/>
    <w:lvl w:ilvl="0" w:tplc="F496D9FA">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14944815">
    <w:abstractNumId w:val="3"/>
  </w:num>
  <w:num w:numId="2" w16cid:durableId="1936667151">
    <w:abstractNumId w:val="2"/>
  </w:num>
  <w:num w:numId="3" w16cid:durableId="1696419394">
    <w:abstractNumId w:val="1"/>
  </w:num>
  <w:num w:numId="4" w16cid:durableId="35307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278"/>
    <w:rsid w:val="00000D13"/>
    <w:rsid w:val="00011831"/>
    <w:rsid w:val="000346BE"/>
    <w:rsid w:val="00034BA0"/>
    <w:rsid w:val="00051D63"/>
    <w:rsid w:val="00081AD6"/>
    <w:rsid w:val="00083853"/>
    <w:rsid w:val="000A4E42"/>
    <w:rsid w:val="000B273E"/>
    <w:rsid w:val="000F10EF"/>
    <w:rsid w:val="000F218D"/>
    <w:rsid w:val="0010527B"/>
    <w:rsid w:val="00105675"/>
    <w:rsid w:val="00106900"/>
    <w:rsid w:val="0016300C"/>
    <w:rsid w:val="001641A7"/>
    <w:rsid w:val="00176F6D"/>
    <w:rsid w:val="00190658"/>
    <w:rsid w:val="001B5893"/>
    <w:rsid w:val="001D4016"/>
    <w:rsid w:val="00237C56"/>
    <w:rsid w:val="0027119A"/>
    <w:rsid w:val="00271D0B"/>
    <w:rsid w:val="0027345D"/>
    <w:rsid w:val="00274C03"/>
    <w:rsid w:val="00275DBF"/>
    <w:rsid w:val="00287A85"/>
    <w:rsid w:val="00292BC5"/>
    <w:rsid w:val="00321D47"/>
    <w:rsid w:val="00337396"/>
    <w:rsid w:val="00341A7E"/>
    <w:rsid w:val="00355A18"/>
    <w:rsid w:val="00356D26"/>
    <w:rsid w:val="003701C4"/>
    <w:rsid w:val="00377533"/>
    <w:rsid w:val="00390F95"/>
    <w:rsid w:val="00393455"/>
    <w:rsid w:val="00397379"/>
    <w:rsid w:val="003A73E1"/>
    <w:rsid w:val="003C1E26"/>
    <w:rsid w:val="003D4BDB"/>
    <w:rsid w:val="0040380B"/>
    <w:rsid w:val="0040466B"/>
    <w:rsid w:val="0041191E"/>
    <w:rsid w:val="004133F2"/>
    <w:rsid w:val="004835A1"/>
    <w:rsid w:val="0049656A"/>
    <w:rsid w:val="004C5889"/>
    <w:rsid w:val="004D0766"/>
    <w:rsid w:val="004D7E32"/>
    <w:rsid w:val="004E3723"/>
    <w:rsid w:val="004F72FA"/>
    <w:rsid w:val="005119FA"/>
    <w:rsid w:val="00520D7A"/>
    <w:rsid w:val="00533871"/>
    <w:rsid w:val="005F48BC"/>
    <w:rsid w:val="00625B55"/>
    <w:rsid w:val="006448CF"/>
    <w:rsid w:val="00663B3E"/>
    <w:rsid w:val="00671196"/>
    <w:rsid w:val="0067638E"/>
    <w:rsid w:val="006905D3"/>
    <w:rsid w:val="006B3084"/>
    <w:rsid w:val="006B37B3"/>
    <w:rsid w:val="006B3DC1"/>
    <w:rsid w:val="006D1D68"/>
    <w:rsid w:val="006D7FA3"/>
    <w:rsid w:val="0070124B"/>
    <w:rsid w:val="00722A63"/>
    <w:rsid w:val="00727C36"/>
    <w:rsid w:val="00777F77"/>
    <w:rsid w:val="007B20C6"/>
    <w:rsid w:val="007B433E"/>
    <w:rsid w:val="007C57F2"/>
    <w:rsid w:val="008203ED"/>
    <w:rsid w:val="008720CE"/>
    <w:rsid w:val="0087365F"/>
    <w:rsid w:val="008B7BD1"/>
    <w:rsid w:val="009111C4"/>
    <w:rsid w:val="00911EFA"/>
    <w:rsid w:val="00925B30"/>
    <w:rsid w:val="009449DC"/>
    <w:rsid w:val="00955A15"/>
    <w:rsid w:val="00957E95"/>
    <w:rsid w:val="0096493C"/>
    <w:rsid w:val="009835B2"/>
    <w:rsid w:val="009D3144"/>
    <w:rsid w:val="00A03300"/>
    <w:rsid w:val="00A103D4"/>
    <w:rsid w:val="00A40572"/>
    <w:rsid w:val="00A508DF"/>
    <w:rsid w:val="00A725E6"/>
    <w:rsid w:val="00A82240"/>
    <w:rsid w:val="00AB7362"/>
    <w:rsid w:val="00AD41E2"/>
    <w:rsid w:val="00AD4EFA"/>
    <w:rsid w:val="00B20608"/>
    <w:rsid w:val="00B25CE3"/>
    <w:rsid w:val="00B41226"/>
    <w:rsid w:val="00B769C0"/>
    <w:rsid w:val="00B8406C"/>
    <w:rsid w:val="00BA2919"/>
    <w:rsid w:val="00BA4FFC"/>
    <w:rsid w:val="00BA6FFD"/>
    <w:rsid w:val="00BB2EA5"/>
    <w:rsid w:val="00BD46B2"/>
    <w:rsid w:val="00BE2B9C"/>
    <w:rsid w:val="00BE6B33"/>
    <w:rsid w:val="00C040D2"/>
    <w:rsid w:val="00C34F9D"/>
    <w:rsid w:val="00C35778"/>
    <w:rsid w:val="00CA24C5"/>
    <w:rsid w:val="00CB6B26"/>
    <w:rsid w:val="00CC6616"/>
    <w:rsid w:val="00CE10D9"/>
    <w:rsid w:val="00CE5ABA"/>
    <w:rsid w:val="00D02D6B"/>
    <w:rsid w:val="00D23086"/>
    <w:rsid w:val="00D2648C"/>
    <w:rsid w:val="00D27120"/>
    <w:rsid w:val="00D335C7"/>
    <w:rsid w:val="00D864F6"/>
    <w:rsid w:val="00D90284"/>
    <w:rsid w:val="00DB1CAA"/>
    <w:rsid w:val="00DB21D0"/>
    <w:rsid w:val="00DB252C"/>
    <w:rsid w:val="00DB3C34"/>
    <w:rsid w:val="00DE6D03"/>
    <w:rsid w:val="00DF2951"/>
    <w:rsid w:val="00E4038C"/>
    <w:rsid w:val="00E5067F"/>
    <w:rsid w:val="00E54B68"/>
    <w:rsid w:val="00E722CC"/>
    <w:rsid w:val="00E7243E"/>
    <w:rsid w:val="00E77A2B"/>
    <w:rsid w:val="00EE764F"/>
    <w:rsid w:val="00F03149"/>
    <w:rsid w:val="00F05121"/>
    <w:rsid w:val="00F05A60"/>
    <w:rsid w:val="00F15278"/>
    <w:rsid w:val="00F417E1"/>
    <w:rsid w:val="00F52409"/>
    <w:rsid w:val="00F571BE"/>
    <w:rsid w:val="00FC47FE"/>
    <w:rsid w:val="00FD3DE3"/>
    <w:rsid w:val="00FD5AEB"/>
    <w:rsid w:val="00FD5D02"/>
    <w:rsid w:val="00FE14B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ABC66"/>
  <w15:docId w15:val="{9B401000-5332-4D7E-AF87-E7C37B7F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D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1E26"/>
    <w:pPr>
      <w:spacing w:before="240" w:after="80" w:line="276" w:lineRule="auto"/>
      <w:outlineLvl w:val="1"/>
    </w:pPr>
    <w:rPr>
      <w:rFonts w:eastAsiaTheme="minorEastAsia"/>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5278"/>
    <w:pPr>
      <w:ind w:left="720"/>
      <w:contextualSpacing/>
    </w:pPr>
  </w:style>
  <w:style w:type="paragraph" w:styleId="BalloonText">
    <w:name w:val="Balloon Text"/>
    <w:basedOn w:val="Normal"/>
    <w:link w:val="BalloonTextChar"/>
    <w:uiPriority w:val="99"/>
    <w:semiHidden/>
    <w:unhideWhenUsed/>
    <w:rsid w:val="00CC6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16"/>
    <w:rPr>
      <w:rFonts w:ascii="Segoe UI" w:hAnsi="Segoe UI" w:cs="Segoe UI"/>
      <w:sz w:val="18"/>
      <w:szCs w:val="18"/>
    </w:rPr>
  </w:style>
  <w:style w:type="character" w:customStyle="1" w:styleId="Heading2Char">
    <w:name w:val="Heading 2 Char"/>
    <w:basedOn w:val="DefaultParagraphFont"/>
    <w:link w:val="Heading2"/>
    <w:uiPriority w:val="9"/>
    <w:rsid w:val="003C1E26"/>
    <w:rPr>
      <w:rFonts w:eastAsiaTheme="minorEastAsia"/>
      <w:smallCaps/>
      <w:spacing w:val="5"/>
      <w:sz w:val="28"/>
      <w:szCs w:val="28"/>
      <w:lang w:val="fr-CA"/>
    </w:rPr>
  </w:style>
  <w:style w:type="character" w:customStyle="1" w:styleId="Heading1Char">
    <w:name w:val="Heading 1 Char"/>
    <w:basedOn w:val="DefaultParagraphFont"/>
    <w:link w:val="Heading1"/>
    <w:uiPriority w:val="9"/>
    <w:rsid w:val="00DE6D03"/>
    <w:rPr>
      <w:rFonts w:asciiTheme="majorHAnsi" w:eastAsiaTheme="majorEastAsia" w:hAnsiTheme="majorHAnsi" w:cstheme="majorBidi"/>
      <w:color w:val="2F5496" w:themeColor="accent1" w:themeShade="BF"/>
      <w:sz w:val="32"/>
      <w:szCs w:val="32"/>
    </w:rPr>
  </w:style>
  <w:style w:type="paragraph" w:styleId="NoSpacing">
    <w:name w:val="No Spacing"/>
    <w:basedOn w:val="Normal"/>
    <w:link w:val="NoSpacingChar"/>
    <w:uiPriority w:val="1"/>
    <w:qFormat/>
    <w:rsid w:val="00DE6D03"/>
    <w:pPr>
      <w:spacing w:after="0" w:line="240" w:lineRule="auto"/>
      <w:jc w:val="both"/>
    </w:pPr>
    <w:rPr>
      <w:rFonts w:eastAsiaTheme="minorEastAsia"/>
      <w:sz w:val="20"/>
      <w:szCs w:val="20"/>
    </w:rPr>
  </w:style>
  <w:style w:type="character" w:customStyle="1" w:styleId="NoSpacingChar">
    <w:name w:val="No Spacing Char"/>
    <w:basedOn w:val="DefaultParagraphFont"/>
    <w:link w:val="NoSpacing"/>
    <w:uiPriority w:val="1"/>
    <w:rsid w:val="00DE6D03"/>
    <w:rPr>
      <w:rFonts w:eastAsiaTheme="minorEastAsia"/>
      <w:sz w:val="20"/>
      <w:szCs w:val="20"/>
      <w:lang w:val="fr-CA"/>
    </w:rPr>
  </w:style>
  <w:style w:type="table" w:styleId="TableGrid">
    <w:name w:val="Table Grid"/>
    <w:basedOn w:val="TableNormal"/>
    <w:rsid w:val="00DE6D03"/>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D2648C"/>
  </w:style>
  <w:style w:type="paragraph" w:styleId="Revision">
    <w:name w:val="Revision"/>
    <w:hidden/>
    <w:uiPriority w:val="99"/>
    <w:semiHidden/>
    <w:rsid w:val="00DB3C34"/>
    <w:pPr>
      <w:spacing w:after="0" w:line="240" w:lineRule="auto"/>
    </w:pPr>
  </w:style>
  <w:style w:type="character" w:styleId="CommentReference">
    <w:name w:val="annotation reference"/>
    <w:basedOn w:val="DefaultParagraphFont"/>
    <w:uiPriority w:val="99"/>
    <w:semiHidden/>
    <w:unhideWhenUsed/>
    <w:rsid w:val="00FC47FE"/>
    <w:rPr>
      <w:sz w:val="16"/>
      <w:szCs w:val="16"/>
    </w:rPr>
  </w:style>
  <w:style w:type="paragraph" w:styleId="CommentText">
    <w:name w:val="annotation text"/>
    <w:basedOn w:val="Normal"/>
    <w:link w:val="CommentTextChar"/>
    <w:uiPriority w:val="99"/>
    <w:semiHidden/>
    <w:unhideWhenUsed/>
    <w:rsid w:val="00FC47FE"/>
    <w:pPr>
      <w:spacing w:line="240" w:lineRule="auto"/>
    </w:pPr>
    <w:rPr>
      <w:sz w:val="20"/>
      <w:szCs w:val="20"/>
    </w:rPr>
  </w:style>
  <w:style w:type="character" w:customStyle="1" w:styleId="CommentTextChar">
    <w:name w:val="Comment Text Char"/>
    <w:basedOn w:val="DefaultParagraphFont"/>
    <w:link w:val="CommentText"/>
    <w:uiPriority w:val="99"/>
    <w:semiHidden/>
    <w:rsid w:val="00FC47FE"/>
    <w:rPr>
      <w:sz w:val="20"/>
      <w:szCs w:val="20"/>
    </w:rPr>
  </w:style>
  <w:style w:type="paragraph" w:styleId="CommentSubject">
    <w:name w:val="annotation subject"/>
    <w:basedOn w:val="CommentText"/>
    <w:next w:val="CommentText"/>
    <w:link w:val="CommentSubjectChar"/>
    <w:uiPriority w:val="99"/>
    <w:semiHidden/>
    <w:unhideWhenUsed/>
    <w:rsid w:val="00FC47FE"/>
    <w:rPr>
      <w:b/>
      <w:bCs/>
    </w:rPr>
  </w:style>
  <w:style w:type="character" w:customStyle="1" w:styleId="CommentSubjectChar">
    <w:name w:val="Comment Subject Char"/>
    <w:basedOn w:val="CommentTextChar"/>
    <w:link w:val="CommentSubject"/>
    <w:uiPriority w:val="99"/>
    <w:semiHidden/>
    <w:rsid w:val="00FC47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42762">
      <w:bodyDiv w:val="1"/>
      <w:marLeft w:val="0"/>
      <w:marRight w:val="0"/>
      <w:marTop w:val="0"/>
      <w:marBottom w:val="0"/>
      <w:divBdr>
        <w:top w:val="none" w:sz="0" w:space="0" w:color="auto"/>
        <w:left w:val="none" w:sz="0" w:space="0" w:color="auto"/>
        <w:bottom w:val="none" w:sz="0" w:space="0" w:color="auto"/>
        <w:right w:val="none" w:sz="0" w:space="0" w:color="auto"/>
      </w:divBdr>
    </w:div>
    <w:div w:id="981234837">
      <w:bodyDiv w:val="1"/>
      <w:marLeft w:val="0"/>
      <w:marRight w:val="0"/>
      <w:marTop w:val="0"/>
      <w:marBottom w:val="0"/>
      <w:divBdr>
        <w:top w:val="none" w:sz="0" w:space="0" w:color="auto"/>
        <w:left w:val="none" w:sz="0" w:space="0" w:color="auto"/>
        <w:bottom w:val="none" w:sz="0" w:space="0" w:color="auto"/>
        <w:right w:val="none" w:sz="0" w:space="0" w:color="auto"/>
      </w:divBdr>
      <w:divsChild>
        <w:div w:id="945309114">
          <w:marLeft w:val="0"/>
          <w:marRight w:val="0"/>
          <w:marTop w:val="0"/>
          <w:marBottom w:val="0"/>
          <w:divBdr>
            <w:top w:val="none" w:sz="0" w:space="0" w:color="auto"/>
            <w:left w:val="none" w:sz="0" w:space="0" w:color="auto"/>
            <w:bottom w:val="none" w:sz="0" w:space="0" w:color="auto"/>
            <w:right w:val="none" w:sz="0" w:space="0" w:color="auto"/>
          </w:divBdr>
        </w:div>
        <w:div w:id="354425238">
          <w:marLeft w:val="0"/>
          <w:marRight w:val="0"/>
          <w:marTop w:val="0"/>
          <w:marBottom w:val="0"/>
          <w:divBdr>
            <w:top w:val="none" w:sz="0" w:space="0" w:color="auto"/>
            <w:left w:val="none" w:sz="0" w:space="0" w:color="auto"/>
            <w:bottom w:val="none" w:sz="0" w:space="0" w:color="auto"/>
            <w:right w:val="none" w:sz="0" w:space="0" w:color="auto"/>
          </w:divBdr>
        </w:div>
        <w:div w:id="607855016">
          <w:marLeft w:val="0"/>
          <w:marRight w:val="0"/>
          <w:marTop w:val="0"/>
          <w:marBottom w:val="0"/>
          <w:divBdr>
            <w:top w:val="none" w:sz="0" w:space="0" w:color="auto"/>
            <w:left w:val="none" w:sz="0" w:space="0" w:color="auto"/>
            <w:bottom w:val="none" w:sz="0" w:space="0" w:color="auto"/>
            <w:right w:val="none" w:sz="0" w:space="0" w:color="auto"/>
          </w:divBdr>
        </w:div>
      </w:divsChild>
    </w:div>
    <w:div w:id="17035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085BE-F7B1-4F26-B4D0-3EB5BCEA6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MacPherson, Chris</dc:creator>
  <cp:keywords/>
  <dc:description/>
  <cp:lastModifiedBy>Jennifer Goodine</cp:lastModifiedBy>
  <cp:revision>2</cp:revision>
  <dcterms:created xsi:type="dcterms:W3CDTF">2022-11-16T23:16:00Z</dcterms:created>
  <dcterms:modified xsi:type="dcterms:W3CDTF">2022-11-16T23:16:00Z</dcterms:modified>
</cp:coreProperties>
</file>